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0580E" w14:textId="77777777" w:rsidR="005D4CD4" w:rsidRPr="00B90A7C" w:rsidRDefault="005D4CD4" w:rsidP="00FE31A9">
      <w:pPr>
        <w:pStyle w:val="Nadpis1"/>
        <w:keepNext/>
        <w:shd w:val="clear" w:color="auto" w:fill="C3E7F5"/>
        <w:spacing w:before="120" w:after="240" w:line="280" w:lineRule="atLeast"/>
        <w:jc w:val="center"/>
        <w:rPr>
          <w:color w:val="auto"/>
          <w:sz w:val="28"/>
          <w:szCs w:val="28"/>
        </w:rPr>
      </w:pPr>
      <w:bookmarkStart w:id="0" w:name="_Toc338252199"/>
      <w:r w:rsidRPr="00B90A7C">
        <w:rPr>
          <w:color w:val="auto"/>
          <w:sz w:val="28"/>
          <w:szCs w:val="28"/>
        </w:rPr>
        <w:t>Obchodní podmínky</w:t>
      </w:r>
      <w:bookmarkEnd w:id="0"/>
    </w:p>
    <w:p w14:paraId="30D7339A" w14:textId="77777777" w:rsidR="001A40ED" w:rsidRPr="004C3143" w:rsidRDefault="001A40ED" w:rsidP="001A40ED">
      <w:pPr>
        <w:pStyle w:val="Zkladntext"/>
        <w:numPr>
          <w:ilvl w:val="0"/>
          <w:numId w:val="16"/>
        </w:numPr>
        <w:spacing w:after="120" w:line="280" w:lineRule="atLeast"/>
        <w:ind w:hanging="720"/>
        <w:jc w:val="both"/>
        <w:rPr>
          <w:rFonts w:ascii="Arial" w:hAnsi="Arial" w:cs="Arial"/>
          <w:b w:val="0"/>
          <w:i w:val="0"/>
          <w:sz w:val="20"/>
          <w:u w:val="none"/>
        </w:rPr>
      </w:pPr>
      <w:bookmarkStart w:id="1" w:name="_Toc363974225"/>
      <w:bookmarkStart w:id="2" w:name="_Toc366583533"/>
      <w:bookmarkStart w:id="3" w:name="_Toc367545199"/>
      <w:bookmarkStart w:id="4" w:name="_Toc372344921"/>
      <w:bookmarkStart w:id="5" w:name="_Toc372948307"/>
      <w:bookmarkStart w:id="6" w:name="_Toc374193271"/>
      <w:bookmarkStart w:id="7" w:name="_Toc374330776"/>
      <w:bookmarkStart w:id="8" w:name="_Toc374331678"/>
      <w:bookmarkStart w:id="9" w:name="_Toc375639439"/>
      <w:bookmarkStart w:id="10" w:name="_Toc388320464"/>
      <w:bookmarkStart w:id="11" w:name="_Toc32627433"/>
      <w:r w:rsidRPr="004C3143">
        <w:rPr>
          <w:rFonts w:ascii="Arial" w:hAnsi="Arial" w:cs="Arial"/>
          <w:b w:val="0"/>
          <w:i w:val="0"/>
          <w:sz w:val="20"/>
          <w:u w:val="none"/>
        </w:rPr>
        <w:t>Pojistná smlouva a na základě ní sjednaná pojištění se řídí českým právním řádem.</w:t>
      </w:r>
    </w:p>
    <w:p w14:paraId="4AE36BDE" w14:textId="77777777" w:rsidR="001A40ED" w:rsidRPr="00B90A7C" w:rsidRDefault="001A40ED" w:rsidP="001A40ED">
      <w:pPr>
        <w:pStyle w:val="Zkladntext"/>
        <w:spacing w:after="120" w:line="280" w:lineRule="atLeast"/>
        <w:ind w:left="703" w:hanging="703"/>
        <w:jc w:val="both"/>
        <w:rPr>
          <w:rFonts w:ascii="Arial" w:hAnsi="Arial" w:cs="Arial"/>
          <w:b w:val="0"/>
          <w:i w:val="0"/>
          <w:sz w:val="20"/>
          <w:u w:val="none"/>
        </w:rPr>
      </w:pPr>
      <w:r w:rsidRPr="007371EB">
        <w:rPr>
          <w:rFonts w:ascii="Arial" w:hAnsi="Arial" w:cs="Arial"/>
          <w:b w:val="0"/>
          <w:i w:val="0"/>
          <w:sz w:val="20"/>
          <w:u w:val="none"/>
        </w:rPr>
        <w:t>2.</w:t>
      </w:r>
      <w:r w:rsidRPr="007371EB">
        <w:rPr>
          <w:rFonts w:ascii="Arial" w:hAnsi="Arial" w:cs="Arial"/>
          <w:b w:val="0"/>
          <w:i w:val="0"/>
          <w:sz w:val="20"/>
          <w:u w:val="none"/>
        </w:rPr>
        <w:tab/>
        <w:t xml:space="preserve">Součástí nabídky bude návrh smlouvy </w:t>
      </w:r>
      <w:r w:rsidRPr="007371EB">
        <w:rPr>
          <w:rFonts w:ascii="Arial" w:hAnsi="Arial" w:cs="Arial"/>
          <w:b w:val="0"/>
          <w:bCs/>
          <w:i w:val="0"/>
          <w:iCs/>
          <w:sz w:val="20"/>
          <w:u w:val="none"/>
        </w:rPr>
        <w:t xml:space="preserve">pokrývající celý předmět plnění </w:t>
      </w:r>
      <w:r>
        <w:rPr>
          <w:rFonts w:ascii="Arial" w:hAnsi="Arial" w:cs="Arial"/>
          <w:b w:val="0"/>
          <w:bCs/>
          <w:i w:val="0"/>
          <w:iCs/>
          <w:sz w:val="20"/>
          <w:u w:val="none"/>
        </w:rPr>
        <w:t>veřejné zakázky</w:t>
      </w:r>
      <w:r w:rsidRPr="007371EB">
        <w:rPr>
          <w:rFonts w:ascii="Arial" w:hAnsi="Arial" w:cs="Arial"/>
          <w:b w:val="0"/>
          <w:bCs/>
          <w:i w:val="0"/>
          <w:iCs/>
          <w:sz w:val="20"/>
          <w:u w:val="none"/>
        </w:rPr>
        <w:t>.</w:t>
      </w:r>
      <w:r w:rsidRPr="007371EB">
        <w:rPr>
          <w:rFonts w:ascii="Arial" w:hAnsi="Arial" w:cs="Arial"/>
          <w:b w:val="0"/>
          <w:i w:val="0"/>
          <w:sz w:val="20"/>
          <w:u w:val="none"/>
        </w:rPr>
        <w:t xml:space="preserve"> Návrh smlouvy může spočívat i v podání návrhů více samostatných pojistných smluv dle jednotlivých druhů pojištění (majetek, odpovědnost, tedy max. </w:t>
      </w:r>
      <w:r>
        <w:rPr>
          <w:rFonts w:ascii="Arial" w:hAnsi="Arial" w:cs="Arial"/>
          <w:b w:val="0"/>
          <w:i w:val="0"/>
          <w:sz w:val="20"/>
          <w:u w:val="none"/>
        </w:rPr>
        <w:t>2</w:t>
      </w:r>
      <w:r w:rsidRPr="007371EB">
        <w:rPr>
          <w:rFonts w:ascii="Arial" w:hAnsi="Arial" w:cs="Arial"/>
          <w:b w:val="0"/>
          <w:i w:val="0"/>
          <w:sz w:val="20"/>
          <w:u w:val="none"/>
        </w:rPr>
        <w:t xml:space="preserve"> návrhy smluv), přičemž všechny tyto návrhy smluv musí akceptovat požadavky zadavatele stanovené v této zadávací dokumentaci, a to jak požadavky věcné a technické, tak požadavky právní a smluvní, </w:t>
      </w:r>
      <w:r w:rsidRPr="007A3285">
        <w:rPr>
          <w:rFonts w:ascii="Arial" w:hAnsi="Arial" w:cs="Arial"/>
          <w:b w:val="0"/>
          <w:i w:val="0"/>
          <w:sz w:val="20"/>
          <w:u w:val="none"/>
        </w:rPr>
        <w:t>včetně podmínek opčního práva</w:t>
      </w:r>
      <w:r w:rsidRPr="007371EB">
        <w:rPr>
          <w:rFonts w:ascii="Arial" w:hAnsi="Arial" w:cs="Arial"/>
          <w:b w:val="0"/>
          <w:i w:val="0"/>
          <w:sz w:val="20"/>
          <w:u w:val="none"/>
        </w:rPr>
        <w:t>.</w:t>
      </w:r>
    </w:p>
    <w:p w14:paraId="11AE0416" w14:textId="77777777" w:rsidR="001A40ED" w:rsidRPr="00B90A7C" w:rsidRDefault="001A40ED" w:rsidP="001A40ED">
      <w:pPr>
        <w:pStyle w:val="Zkladntext"/>
        <w:spacing w:after="120" w:line="280" w:lineRule="atLeast"/>
        <w:ind w:left="703" w:hanging="703"/>
        <w:jc w:val="both"/>
        <w:rPr>
          <w:rFonts w:ascii="Arial" w:hAnsi="Arial" w:cs="Arial"/>
          <w:b w:val="0"/>
          <w:bCs/>
          <w:i w:val="0"/>
          <w:iCs/>
          <w:sz w:val="20"/>
          <w:u w:val="none"/>
        </w:rPr>
      </w:pPr>
      <w:r>
        <w:rPr>
          <w:rFonts w:ascii="Arial" w:hAnsi="Arial" w:cs="Arial"/>
          <w:b w:val="0"/>
          <w:i w:val="0"/>
          <w:sz w:val="20"/>
          <w:u w:val="none"/>
        </w:rPr>
        <w:t>3</w:t>
      </w:r>
      <w:r w:rsidRPr="00B90A7C">
        <w:rPr>
          <w:rFonts w:ascii="Arial" w:hAnsi="Arial" w:cs="Arial"/>
          <w:b w:val="0"/>
          <w:i w:val="0"/>
          <w:sz w:val="20"/>
          <w:u w:val="none"/>
        </w:rPr>
        <w:t>.</w:t>
      </w:r>
      <w:r w:rsidRPr="00B90A7C">
        <w:rPr>
          <w:rFonts w:ascii="Arial" w:hAnsi="Arial" w:cs="Arial"/>
          <w:b w:val="0"/>
          <w:i w:val="0"/>
          <w:sz w:val="20"/>
          <w:u w:val="none"/>
        </w:rPr>
        <w:tab/>
        <w:t xml:space="preserve">Žádný návrh smlouvy nesmí obsahovat žádná ujednání odvolávající se na všeobecné obchodní podmínky </w:t>
      </w:r>
      <w:r>
        <w:rPr>
          <w:rFonts w:ascii="Arial" w:hAnsi="Arial" w:cs="Arial"/>
          <w:b w:val="0"/>
          <w:i w:val="0"/>
          <w:sz w:val="20"/>
          <w:u w:val="none"/>
        </w:rPr>
        <w:t>účastníka</w:t>
      </w:r>
      <w:r w:rsidRPr="00B90A7C">
        <w:rPr>
          <w:rFonts w:ascii="Arial" w:hAnsi="Arial" w:cs="Arial"/>
          <w:b w:val="0"/>
          <w:i w:val="0"/>
          <w:sz w:val="20"/>
          <w:u w:val="none"/>
        </w:rPr>
        <w:t xml:space="preserve"> nebo jiné dokumenty, které mohou být v budoucím období </w:t>
      </w:r>
      <w:r>
        <w:rPr>
          <w:rFonts w:ascii="Arial" w:hAnsi="Arial" w:cs="Arial"/>
          <w:b w:val="0"/>
          <w:i w:val="0"/>
          <w:sz w:val="20"/>
          <w:u w:val="none"/>
        </w:rPr>
        <w:t>účastníkem</w:t>
      </w:r>
      <w:r w:rsidRPr="00B90A7C">
        <w:rPr>
          <w:rFonts w:ascii="Arial" w:hAnsi="Arial" w:cs="Arial"/>
          <w:b w:val="0"/>
          <w:i w:val="0"/>
          <w:sz w:val="20"/>
          <w:u w:val="none"/>
        </w:rPr>
        <w:t xml:space="preserve"> jednostranně změněny. Všechny podstatné podmínky musí být obsaženy přímo v textu návrhu smlouvy, přičemž v</w:t>
      </w:r>
      <w:r w:rsidRPr="00B90A7C">
        <w:rPr>
          <w:rFonts w:ascii="Arial" w:hAnsi="Arial" w:cs="Arial"/>
          <w:b w:val="0"/>
          <w:i w:val="0"/>
          <w:iCs/>
          <w:sz w:val="20"/>
          <w:u w:val="none"/>
        </w:rPr>
        <w:t>šeobecné obchodní podmínky</w:t>
      </w:r>
      <w:r w:rsidRPr="00B90A7C">
        <w:rPr>
          <w:rFonts w:ascii="Arial" w:hAnsi="Arial" w:cs="Arial"/>
          <w:bCs/>
          <w:i w:val="0"/>
          <w:iCs/>
          <w:sz w:val="20"/>
          <w:u w:val="none"/>
        </w:rPr>
        <w:t xml:space="preserve"> </w:t>
      </w:r>
      <w:r w:rsidRPr="00B90A7C">
        <w:rPr>
          <w:rFonts w:ascii="Arial" w:hAnsi="Arial" w:cs="Arial"/>
          <w:b w:val="0"/>
          <w:i w:val="0"/>
          <w:iCs/>
          <w:sz w:val="20"/>
          <w:u w:val="none"/>
        </w:rPr>
        <w:t xml:space="preserve">mohou být součástí návrhu pojistné smlouvy </w:t>
      </w:r>
      <w:r w:rsidRPr="00B90A7C">
        <w:rPr>
          <w:rFonts w:ascii="Arial" w:hAnsi="Arial" w:cs="Arial"/>
          <w:b w:val="0"/>
          <w:bCs/>
          <w:i w:val="0"/>
          <w:iCs/>
          <w:sz w:val="20"/>
          <w:u w:val="none"/>
        </w:rPr>
        <w:t>jako jejich neoddělitelná příloha v případě, že tyto všeobecné obchodní podmínky budou v souladu s požadavky zadavatele definovanými v této ZD a nebudou v budoucím období do konce plnění veřejné zakázky dodavatelem jednostranně změněny.</w:t>
      </w:r>
    </w:p>
    <w:p w14:paraId="5BDF6AB3" w14:textId="77777777" w:rsidR="001A40ED" w:rsidRPr="00B90A7C" w:rsidRDefault="001A40ED" w:rsidP="001A40ED">
      <w:pPr>
        <w:pStyle w:val="Zkladntext3"/>
        <w:spacing w:line="280" w:lineRule="atLeast"/>
        <w:ind w:left="703" w:hanging="703"/>
        <w:rPr>
          <w:rFonts w:cs="Arial"/>
          <w:sz w:val="20"/>
          <w:szCs w:val="20"/>
        </w:rPr>
      </w:pPr>
      <w:r>
        <w:rPr>
          <w:rFonts w:cs="Arial"/>
          <w:sz w:val="20"/>
          <w:szCs w:val="20"/>
        </w:rPr>
        <w:t>4</w:t>
      </w:r>
      <w:r w:rsidRPr="00B90A7C">
        <w:rPr>
          <w:rFonts w:cs="Arial"/>
          <w:sz w:val="20"/>
          <w:szCs w:val="20"/>
        </w:rPr>
        <w:t>.</w:t>
      </w:r>
      <w:r w:rsidRPr="00B90A7C">
        <w:rPr>
          <w:rFonts w:cs="Arial"/>
          <w:sz w:val="20"/>
          <w:szCs w:val="20"/>
        </w:rPr>
        <w:tab/>
        <w:t xml:space="preserve">Návrh smlouvy musí obsahovat veškeré podmínky, za nichž </w:t>
      </w:r>
      <w:r>
        <w:rPr>
          <w:rFonts w:cs="Arial"/>
          <w:sz w:val="20"/>
          <w:szCs w:val="20"/>
        </w:rPr>
        <w:t xml:space="preserve">účastník </w:t>
      </w:r>
      <w:r w:rsidRPr="00B90A7C">
        <w:rPr>
          <w:rFonts w:cs="Arial"/>
          <w:sz w:val="20"/>
          <w:szCs w:val="20"/>
        </w:rPr>
        <w:t xml:space="preserve">nabízí splnění zakázky ve své nabídce, a musí splňovat ustanovení obecně závazných právních předpisů, které se vztahují k provádění příslušné zakázky, především ustanovení zákona </w:t>
      </w:r>
      <w:r>
        <w:rPr>
          <w:rFonts w:cs="Arial"/>
          <w:sz w:val="20"/>
          <w:szCs w:val="20"/>
        </w:rPr>
        <w:t>č. 89/2012 Sb., občanský zákoník</w:t>
      </w:r>
      <w:r w:rsidRPr="00B90A7C">
        <w:rPr>
          <w:rFonts w:cs="Arial"/>
          <w:sz w:val="20"/>
          <w:szCs w:val="20"/>
        </w:rPr>
        <w:t xml:space="preserve">. Návrh smlouvy </w:t>
      </w:r>
      <w:r w:rsidRPr="00B90A7C">
        <w:rPr>
          <w:rFonts w:cs="Arial"/>
          <w:b/>
          <w:bCs/>
          <w:sz w:val="20"/>
          <w:szCs w:val="20"/>
        </w:rPr>
        <w:t>musí zároveň obsahovat závazná smluvní ustanovení, která jsou uvedena v následujících odstavcích tohoto článku ZD,</w:t>
      </w:r>
      <w:r w:rsidRPr="00B90A7C">
        <w:rPr>
          <w:rFonts w:cs="Arial"/>
          <w:sz w:val="20"/>
          <w:szCs w:val="20"/>
        </w:rPr>
        <w:t xml:space="preserve"> přičemž ustanovení smlouvy zapracovaná </w:t>
      </w:r>
      <w:r>
        <w:rPr>
          <w:rFonts w:cs="Arial"/>
          <w:sz w:val="20"/>
          <w:szCs w:val="20"/>
        </w:rPr>
        <w:t>účastníkem</w:t>
      </w:r>
      <w:r w:rsidRPr="00B90A7C">
        <w:rPr>
          <w:rFonts w:cs="Arial"/>
          <w:sz w:val="20"/>
          <w:szCs w:val="20"/>
        </w:rPr>
        <w:t xml:space="preserve"> nesmí být v rozporu s těmito závaznými smluvními ustanoveními a nesmí vyloučit či žádným způsobem omezovat oprávnění a podmínky zadavatele uvedená v této ZD.</w:t>
      </w:r>
    </w:p>
    <w:p w14:paraId="250D4366" w14:textId="77777777" w:rsidR="001A40ED" w:rsidRPr="00B90A7C" w:rsidRDefault="001A40ED" w:rsidP="001A40ED">
      <w:pPr>
        <w:pStyle w:val="Zkladntext3"/>
        <w:spacing w:line="280" w:lineRule="atLeast"/>
        <w:ind w:left="703" w:hanging="703"/>
        <w:rPr>
          <w:rFonts w:cs="Arial"/>
          <w:bCs/>
          <w:iCs/>
          <w:sz w:val="20"/>
          <w:szCs w:val="20"/>
        </w:rPr>
      </w:pPr>
      <w:r>
        <w:rPr>
          <w:rFonts w:cs="Arial"/>
          <w:bCs/>
          <w:iCs/>
          <w:sz w:val="20"/>
          <w:szCs w:val="20"/>
        </w:rPr>
        <w:t>5</w:t>
      </w:r>
      <w:r w:rsidRPr="00B90A7C">
        <w:rPr>
          <w:rFonts w:cs="Arial"/>
          <w:bCs/>
          <w:iCs/>
          <w:sz w:val="20"/>
          <w:szCs w:val="20"/>
        </w:rPr>
        <w:t>.</w:t>
      </w:r>
      <w:r w:rsidRPr="00B90A7C">
        <w:rPr>
          <w:rFonts w:cs="Arial"/>
          <w:bCs/>
          <w:iCs/>
          <w:sz w:val="20"/>
          <w:szCs w:val="20"/>
        </w:rPr>
        <w:tab/>
        <w:t xml:space="preserve">Každý návrh smlouvy musí obsahovat </w:t>
      </w:r>
      <w:r w:rsidRPr="00B90A7C">
        <w:rPr>
          <w:rFonts w:cs="Arial"/>
          <w:b/>
          <w:iCs/>
          <w:sz w:val="20"/>
          <w:szCs w:val="20"/>
          <w:u w:val="single"/>
        </w:rPr>
        <w:t>základní náležitosti smlouvy</w:t>
      </w:r>
      <w:r w:rsidRPr="00B90A7C">
        <w:rPr>
          <w:rFonts w:cs="Arial"/>
          <w:bCs/>
          <w:iCs/>
          <w:sz w:val="20"/>
          <w:szCs w:val="20"/>
        </w:rPr>
        <w:t>, které jsou pro všechny druhy smluv společné a jsou zpracov</w:t>
      </w:r>
      <w:r>
        <w:rPr>
          <w:rFonts w:cs="Arial"/>
          <w:bCs/>
          <w:iCs/>
          <w:sz w:val="20"/>
          <w:szCs w:val="20"/>
        </w:rPr>
        <w:t>ány</w:t>
      </w:r>
      <w:r w:rsidRPr="00B90A7C">
        <w:rPr>
          <w:rFonts w:cs="Arial"/>
          <w:bCs/>
          <w:iCs/>
          <w:sz w:val="20"/>
          <w:szCs w:val="20"/>
        </w:rPr>
        <w:t xml:space="preserve"> v souladu s touto zadávací dokumentací. Jedná se zejména o:</w:t>
      </w:r>
    </w:p>
    <w:p w14:paraId="08DF68E4" w14:textId="77777777" w:rsidR="001A40ED" w:rsidRPr="00B90A7C" w:rsidRDefault="001A40ED" w:rsidP="001A40ED">
      <w:pPr>
        <w:pStyle w:val="Zkladntext"/>
        <w:spacing w:after="120" w:line="280" w:lineRule="atLeast"/>
        <w:ind w:left="703" w:hanging="703"/>
        <w:jc w:val="both"/>
        <w:rPr>
          <w:rFonts w:ascii="Arial" w:hAnsi="Arial" w:cs="Arial"/>
          <w:b w:val="0"/>
          <w:bCs/>
          <w:i w:val="0"/>
          <w:iCs/>
          <w:sz w:val="20"/>
          <w:u w:val="none"/>
        </w:rPr>
      </w:pPr>
      <w:r>
        <w:rPr>
          <w:rFonts w:ascii="Arial" w:hAnsi="Arial" w:cs="Arial"/>
          <w:b w:val="0"/>
          <w:i w:val="0"/>
          <w:iCs/>
          <w:sz w:val="20"/>
          <w:u w:val="none"/>
        </w:rPr>
        <w:t>5.1</w:t>
      </w:r>
      <w:r>
        <w:rPr>
          <w:rFonts w:ascii="Arial" w:hAnsi="Arial" w:cs="Arial"/>
          <w:b w:val="0"/>
          <w:i w:val="0"/>
          <w:iCs/>
          <w:sz w:val="20"/>
          <w:u w:val="none"/>
        </w:rPr>
        <w:tab/>
        <w:t>Přesnou</w:t>
      </w:r>
      <w:r w:rsidRPr="00B90A7C">
        <w:rPr>
          <w:rFonts w:ascii="Arial" w:hAnsi="Arial" w:cs="Arial"/>
          <w:b w:val="0"/>
          <w:i w:val="0"/>
          <w:iCs/>
          <w:sz w:val="20"/>
          <w:u w:val="none"/>
        </w:rPr>
        <w:t xml:space="preserve"> identifikac</w:t>
      </w:r>
      <w:r>
        <w:rPr>
          <w:rFonts w:ascii="Arial" w:hAnsi="Arial" w:cs="Arial"/>
          <w:b w:val="0"/>
          <w:i w:val="0"/>
          <w:iCs/>
          <w:sz w:val="20"/>
          <w:u w:val="none"/>
        </w:rPr>
        <w:t>i</w:t>
      </w:r>
      <w:r w:rsidRPr="00B90A7C">
        <w:rPr>
          <w:rFonts w:ascii="Arial" w:hAnsi="Arial" w:cs="Arial"/>
          <w:b w:val="0"/>
          <w:i w:val="0"/>
          <w:iCs/>
          <w:sz w:val="20"/>
          <w:u w:val="none"/>
        </w:rPr>
        <w:t xml:space="preserve"> a označení smluvních stran</w:t>
      </w:r>
      <w:r w:rsidRPr="00B90A7C">
        <w:rPr>
          <w:rFonts w:ascii="Arial" w:hAnsi="Arial" w:cs="Arial"/>
          <w:b w:val="0"/>
          <w:bCs/>
          <w:i w:val="0"/>
          <w:iCs/>
          <w:sz w:val="20"/>
          <w:u w:val="none"/>
        </w:rPr>
        <w:t xml:space="preserve"> v souladu se zápisem v obchodním rejstříku anebo v souladu s živnostenským oprávněním, není-li uchazeč v obchodním rejstříku zapsán. Zadavatel je nadále ve smluvních ustanoveních tohoto článku ZD označován jako „</w:t>
      </w:r>
      <w:r w:rsidRPr="00B90A7C">
        <w:rPr>
          <w:rFonts w:ascii="Arial" w:hAnsi="Arial" w:cs="Arial"/>
          <w:b w:val="0"/>
          <w:bCs/>
          <w:sz w:val="20"/>
          <w:u w:val="none"/>
        </w:rPr>
        <w:t xml:space="preserve">pojištěný/pojistník“ a </w:t>
      </w:r>
      <w:r>
        <w:rPr>
          <w:rFonts w:ascii="Arial" w:hAnsi="Arial" w:cs="Arial"/>
          <w:b w:val="0"/>
          <w:bCs/>
          <w:i w:val="0"/>
          <w:iCs/>
          <w:sz w:val="20"/>
          <w:u w:val="none"/>
        </w:rPr>
        <w:t>účastník</w:t>
      </w:r>
      <w:r w:rsidRPr="00B90A7C">
        <w:rPr>
          <w:rFonts w:ascii="Arial" w:hAnsi="Arial" w:cs="Arial"/>
          <w:b w:val="0"/>
          <w:bCs/>
          <w:i w:val="0"/>
          <w:iCs/>
          <w:sz w:val="20"/>
          <w:u w:val="none"/>
        </w:rPr>
        <w:t xml:space="preserve"> označován</w:t>
      </w:r>
      <w:r w:rsidRPr="00B90A7C">
        <w:rPr>
          <w:rFonts w:ascii="Arial" w:hAnsi="Arial" w:cs="Arial"/>
          <w:b w:val="0"/>
          <w:bCs/>
          <w:sz w:val="20"/>
          <w:u w:val="none"/>
        </w:rPr>
        <w:t xml:space="preserve"> jako „pojistitel“</w:t>
      </w:r>
      <w:r w:rsidRPr="00B90A7C">
        <w:rPr>
          <w:rFonts w:ascii="Arial" w:hAnsi="Arial" w:cs="Arial"/>
          <w:b w:val="0"/>
          <w:bCs/>
          <w:i w:val="0"/>
          <w:iCs/>
          <w:sz w:val="20"/>
          <w:u w:val="none"/>
        </w:rPr>
        <w:t>, přičemž pojištěným nemusí být vždy osoba pojistníka.</w:t>
      </w:r>
    </w:p>
    <w:p w14:paraId="7DC79537" w14:textId="77777777" w:rsidR="001A40ED" w:rsidRPr="00B90A7C" w:rsidRDefault="001A40ED" w:rsidP="001A40ED">
      <w:pPr>
        <w:pStyle w:val="Zkladntext"/>
        <w:spacing w:after="120" w:line="280" w:lineRule="atLeast"/>
        <w:ind w:left="703" w:hanging="703"/>
        <w:jc w:val="both"/>
        <w:rPr>
          <w:rFonts w:ascii="Arial" w:hAnsi="Arial" w:cs="Arial"/>
          <w:b w:val="0"/>
          <w:bCs/>
          <w:i w:val="0"/>
          <w:iCs/>
          <w:sz w:val="20"/>
          <w:u w:val="none"/>
        </w:rPr>
      </w:pPr>
      <w:r>
        <w:rPr>
          <w:rFonts w:ascii="Arial" w:hAnsi="Arial" w:cs="Arial"/>
          <w:b w:val="0"/>
          <w:i w:val="0"/>
          <w:iCs/>
          <w:sz w:val="20"/>
          <w:u w:val="none"/>
        </w:rPr>
        <w:t>5.2</w:t>
      </w:r>
      <w:r w:rsidRPr="00B90A7C">
        <w:rPr>
          <w:rFonts w:ascii="Arial" w:hAnsi="Arial" w:cs="Arial"/>
          <w:b w:val="0"/>
          <w:i w:val="0"/>
          <w:iCs/>
          <w:sz w:val="20"/>
          <w:u w:val="none"/>
        </w:rPr>
        <w:tab/>
        <w:t>Přesné vymezení předmětu zakázky</w:t>
      </w:r>
      <w:r w:rsidRPr="00B90A7C">
        <w:rPr>
          <w:rFonts w:ascii="Arial" w:hAnsi="Arial" w:cs="Arial"/>
          <w:b w:val="0"/>
          <w:bCs/>
          <w:i w:val="0"/>
          <w:iCs/>
          <w:sz w:val="20"/>
          <w:u w:val="none"/>
        </w:rPr>
        <w:t xml:space="preserve"> (plnění) v souladu s požadavky uvedenými v této zadávací dokumentaci a včetně závazku respektovat všechny podmínky uvedené v této zadávací dokumentaci a nabídce </w:t>
      </w:r>
      <w:r>
        <w:rPr>
          <w:rFonts w:ascii="Arial" w:hAnsi="Arial" w:cs="Arial"/>
          <w:b w:val="0"/>
          <w:bCs/>
          <w:i w:val="0"/>
          <w:iCs/>
          <w:sz w:val="20"/>
          <w:u w:val="none"/>
        </w:rPr>
        <w:t>účastníka</w:t>
      </w:r>
      <w:r w:rsidRPr="00B90A7C">
        <w:rPr>
          <w:rFonts w:ascii="Arial" w:hAnsi="Arial" w:cs="Arial"/>
          <w:b w:val="0"/>
          <w:bCs/>
          <w:i w:val="0"/>
          <w:iCs/>
          <w:sz w:val="20"/>
          <w:u w:val="none"/>
        </w:rPr>
        <w:t>.</w:t>
      </w:r>
    </w:p>
    <w:p w14:paraId="6CB46D7E" w14:textId="63DD5531" w:rsidR="001A40ED" w:rsidRPr="00B90A7C" w:rsidRDefault="001A40ED" w:rsidP="001A40ED">
      <w:pPr>
        <w:pStyle w:val="Zkladntext"/>
        <w:spacing w:after="120" w:line="280" w:lineRule="atLeast"/>
        <w:ind w:left="705" w:hanging="705"/>
        <w:jc w:val="both"/>
        <w:rPr>
          <w:rFonts w:ascii="Arial" w:hAnsi="Arial" w:cs="Arial"/>
          <w:b w:val="0"/>
          <w:bCs/>
          <w:i w:val="0"/>
          <w:iCs/>
          <w:sz w:val="20"/>
          <w:u w:val="none"/>
        </w:rPr>
      </w:pPr>
      <w:r>
        <w:rPr>
          <w:rFonts w:ascii="Arial" w:hAnsi="Arial" w:cs="Arial"/>
          <w:b w:val="0"/>
          <w:i w:val="0"/>
          <w:iCs/>
          <w:sz w:val="20"/>
          <w:u w:val="none"/>
        </w:rPr>
        <w:t>5</w:t>
      </w:r>
      <w:r w:rsidRPr="00E923AE">
        <w:rPr>
          <w:rFonts w:ascii="Arial" w:hAnsi="Arial" w:cs="Arial"/>
          <w:b w:val="0"/>
          <w:i w:val="0"/>
          <w:iCs/>
          <w:sz w:val="20"/>
          <w:u w:val="none"/>
        </w:rPr>
        <w:t>.3</w:t>
      </w:r>
      <w:r w:rsidRPr="00E923AE">
        <w:rPr>
          <w:rFonts w:ascii="Arial" w:hAnsi="Arial" w:cs="Arial"/>
          <w:b w:val="0"/>
          <w:i w:val="0"/>
          <w:iCs/>
          <w:sz w:val="20"/>
          <w:u w:val="none"/>
        </w:rPr>
        <w:tab/>
        <w:t>Cenu</w:t>
      </w:r>
      <w:r w:rsidRPr="00E923AE">
        <w:rPr>
          <w:rFonts w:ascii="Arial" w:hAnsi="Arial" w:cs="Arial"/>
          <w:b w:val="0"/>
          <w:bCs/>
          <w:i w:val="0"/>
          <w:iCs/>
          <w:sz w:val="20"/>
          <w:u w:val="none"/>
        </w:rPr>
        <w:t xml:space="preserve"> v členění dle </w:t>
      </w:r>
      <w:r>
        <w:rPr>
          <w:rFonts w:ascii="Arial" w:hAnsi="Arial" w:cs="Arial"/>
          <w:b w:val="0"/>
          <w:bCs/>
          <w:i w:val="0"/>
          <w:iCs/>
          <w:sz w:val="20"/>
          <w:u w:val="none"/>
        </w:rPr>
        <w:t>přílohy č</w:t>
      </w:r>
      <w:r w:rsidRPr="00410802">
        <w:rPr>
          <w:rFonts w:ascii="Arial" w:hAnsi="Arial" w:cs="Arial"/>
          <w:b w:val="0"/>
          <w:bCs/>
          <w:i w:val="0"/>
          <w:iCs/>
          <w:sz w:val="20"/>
          <w:u w:val="none"/>
        </w:rPr>
        <w:t>.1</w:t>
      </w:r>
      <w:r w:rsidR="00700223">
        <w:rPr>
          <w:rFonts w:ascii="Arial" w:hAnsi="Arial" w:cs="Arial"/>
          <w:b w:val="0"/>
          <w:bCs/>
          <w:i w:val="0"/>
          <w:iCs/>
          <w:sz w:val="20"/>
          <w:u w:val="none"/>
        </w:rPr>
        <w:t>2</w:t>
      </w:r>
      <w:r w:rsidRPr="00E923AE">
        <w:rPr>
          <w:rFonts w:ascii="Arial" w:hAnsi="Arial" w:cs="Arial"/>
          <w:b w:val="0"/>
          <w:bCs/>
          <w:i w:val="0"/>
          <w:iCs/>
          <w:sz w:val="20"/>
          <w:u w:val="none"/>
        </w:rPr>
        <w:t xml:space="preserve"> – „Formulář – </w:t>
      </w:r>
      <w:r w:rsidR="00C21D18">
        <w:rPr>
          <w:rFonts w:ascii="Arial" w:hAnsi="Arial" w:cs="Arial"/>
          <w:b w:val="0"/>
          <w:bCs/>
          <w:i w:val="0"/>
          <w:iCs/>
          <w:sz w:val="20"/>
          <w:u w:val="none"/>
        </w:rPr>
        <w:t>kalkulace nabídkové ceny</w:t>
      </w:r>
      <w:r w:rsidRPr="00E923AE">
        <w:rPr>
          <w:rFonts w:ascii="Arial" w:hAnsi="Arial" w:cs="Arial"/>
          <w:b w:val="0"/>
          <w:bCs/>
          <w:i w:val="0"/>
          <w:iCs/>
          <w:sz w:val="20"/>
          <w:u w:val="none"/>
        </w:rPr>
        <w:t>“ této zadávací dokumentace</w:t>
      </w:r>
      <w:r>
        <w:rPr>
          <w:rFonts w:ascii="Arial" w:hAnsi="Arial" w:cs="Arial"/>
          <w:b w:val="0"/>
          <w:bCs/>
          <w:i w:val="0"/>
          <w:iCs/>
          <w:sz w:val="20"/>
          <w:u w:val="none"/>
        </w:rPr>
        <w:t>.</w:t>
      </w:r>
    </w:p>
    <w:p w14:paraId="60D96731" w14:textId="77777777" w:rsidR="001A40ED" w:rsidRPr="00B90A7C" w:rsidRDefault="001A40ED" w:rsidP="001A40ED">
      <w:pPr>
        <w:pStyle w:val="Zkladntext"/>
        <w:spacing w:after="120" w:line="280" w:lineRule="atLeast"/>
        <w:jc w:val="both"/>
        <w:rPr>
          <w:rFonts w:ascii="Arial" w:hAnsi="Arial" w:cs="Arial"/>
          <w:b w:val="0"/>
          <w:bCs/>
          <w:i w:val="0"/>
          <w:iCs/>
          <w:sz w:val="20"/>
          <w:u w:val="none"/>
        </w:rPr>
      </w:pPr>
      <w:r>
        <w:rPr>
          <w:rFonts w:ascii="Arial" w:hAnsi="Arial" w:cs="Arial"/>
          <w:b w:val="0"/>
          <w:i w:val="0"/>
          <w:iCs/>
          <w:sz w:val="20"/>
          <w:u w:val="none"/>
        </w:rPr>
        <w:t>5.4</w:t>
      </w:r>
      <w:r w:rsidRPr="00B90A7C">
        <w:rPr>
          <w:rFonts w:ascii="Arial" w:hAnsi="Arial" w:cs="Arial"/>
          <w:b w:val="0"/>
          <w:i w:val="0"/>
          <w:iCs/>
          <w:sz w:val="20"/>
          <w:u w:val="none"/>
        </w:rPr>
        <w:tab/>
        <w:t>Platební podmínky</w:t>
      </w:r>
      <w:r w:rsidRPr="00B90A7C">
        <w:rPr>
          <w:rFonts w:ascii="Arial" w:hAnsi="Arial" w:cs="Arial"/>
          <w:b w:val="0"/>
          <w:bCs/>
          <w:i w:val="0"/>
          <w:iCs/>
          <w:sz w:val="20"/>
          <w:u w:val="none"/>
        </w:rPr>
        <w:t xml:space="preserve"> v souladu </w:t>
      </w:r>
      <w:r>
        <w:rPr>
          <w:rFonts w:ascii="Arial" w:hAnsi="Arial" w:cs="Arial"/>
          <w:b w:val="0"/>
          <w:bCs/>
          <w:i w:val="0"/>
          <w:iCs/>
          <w:sz w:val="20"/>
          <w:u w:val="none"/>
        </w:rPr>
        <w:t xml:space="preserve">s </w:t>
      </w:r>
      <w:r w:rsidRPr="00B90A7C">
        <w:rPr>
          <w:rFonts w:ascii="Arial" w:hAnsi="Arial" w:cs="Arial"/>
          <w:b w:val="0"/>
          <w:bCs/>
          <w:i w:val="0"/>
          <w:iCs/>
          <w:sz w:val="20"/>
          <w:u w:val="none"/>
        </w:rPr>
        <w:t>obchodními podmínkami zadávací dokumentace.</w:t>
      </w:r>
    </w:p>
    <w:p w14:paraId="0F58BCB6" w14:textId="4F198565" w:rsidR="001A40ED" w:rsidRPr="00B90A7C" w:rsidRDefault="001A40ED" w:rsidP="001A40ED">
      <w:pPr>
        <w:pStyle w:val="Zkladntext"/>
        <w:spacing w:after="120" w:line="280" w:lineRule="atLeast"/>
        <w:ind w:left="709" w:hanging="709"/>
        <w:jc w:val="both"/>
        <w:rPr>
          <w:rFonts w:ascii="Arial" w:hAnsi="Arial" w:cs="Arial"/>
          <w:b w:val="0"/>
          <w:bCs/>
          <w:i w:val="0"/>
          <w:iCs/>
          <w:sz w:val="20"/>
          <w:u w:val="none"/>
        </w:rPr>
      </w:pPr>
      <w:r>
        <w:rPr>
          <w:rFonts w:ascii="Arial" w:hAnsi="Arial" w:cs="Arial"/>
          <w:b w:val="0"/>
          <w:i w:val="0"/>
          <w:iCs/>
          <w:sz w:val="20"/>
          <w:u w:val="none"/>
        </w:rPr>
        <w:t>5.5</w:t>
      </w:r>
      <w:r w:rsidRPr="00B90A7C">
        <w:rPr>
          <w:rFonts w:ascii="Arial" w:hAnsi="Arial" w:cs="Arial"/>
          <w:b w:val="0"/>
          <w:i w:val="0"/>
          <w:iCs/>
          <w:sz w:val="20"/>
          <w:u w:val="none"/>
        </w:rPr>
        <w:tab/>
        <w:t>Místo plnění</w:t>
      </w:r>
      <w:r w:rsidRPr="00B90A7C">
        <w:rPr>
          <w:rFonts w:ascii="Arial" w:hAnsi="Arial" w:cs="Arial"/>
          <w:b w:val="0"/>
          <w:bCs/>
          <w:i w:val="0"/>
          <w:iCs/>
          <w:sz w:val="20"/>
          <w:u w:val="none"/>
        </w:rPr>
        <w:t xml:space="preserve"> je především území </w:t>
      </w:r>
      <w:r>
        <w:rPr>
          <w:rFonts w:ascii="Arial" w:hAnsi="Arial" w:cs="Arial"/>
          <w:b w:val="0"/>
          <w:bCs/>
          <w:i w:val="0"/>
          <w:iCs/>
          <w:sz w:val="20"/>
          <w:u w:val="none"/>
        </w:rPr>
        <w:t xml:space="preserve">katastrální území města Olomouc; jednotlivá místa plnění jsou stanovena </w:t>
      </w:r>
      <w:r w:rsidRPr="00536DF6">
        <w:rPr>
          <w:rFonts w:ascii="Arial" w:hAnsi="Arial" w:cs="Arial"/>
          <w:b w:val="0"/>
          <w:bCs/>
          <w:i w:val="0"/>
          <w:iCs/>
          <w:sz w:val="20"/>
          <w:u w:val="none"/>
        </w:rPr>
        <w:t>v příloze č.</w:t>
      </w:r>
      <w:r w:rsidR="00C21D18">
        <w:rPr>
          <w:rFonts w:ascii="Arial" w:hAnsi="Arial" w:cs="Arial"/>
          <w:b w:val="0"/>
          <w:bCs/>
          <w:i w:val="0"/>
          <w:iCs/>
          <w:sz w:val="20"/>
          <w:u w:val="none"/>
        </w:rPr>
        <w:t>8</w:t>
      </w:r>
      <w:r w:rsidRPr="00536DF6">
        <w:rPr>
          <w:rFonts w:ascii="Arial" w:hAnsi="Arial" w:cs="Arial"/>
          <w:b w:val="0"/>
          <w:bCs/>
          <w:i w:val="0"/>
          <w:iCs/>
          <w:sz w:val="20"/>
          <w:u w:val="none"/>
        </w:rPr>
        <w:t xml:space="preserve"> této zadávací dokumentace, v případě pojištění majetku pojištěného/pojistníka jsou místy plnění veřejné zakázky místa, kde se nachází majetek</w:t>
      </w:r>
      <w:r>
        <w:rPr>
          <w:rFonts w:ascii="Arial" w:hAnsi="Arial" w:cs="Arial"/>
          <w:b w:val="0"/>
          <w:bCs/>
          <w:i w:val="0"/>
          <w:iCs/>
          <w:sz w:val="20"/>
          <w:u w:val="none"/>
        </w:rPr>
        <w:t xml:space="preserve"> </w:t>
      </w:r>
      <w:r w:rsidRPr="00536DF6">
        <w:rPr>
          <w:rFonts w:ascii="Arial" w:hAnsi="Arial" w:cs="Arial"/>
          <w:b w:val="0"/>
          <w:bCs/>
          <w:i w:val="0"/>
          <w:iCs/>
          <w:sz w:val="20"/>
          <w:u w:val="none"/>
        </w:rPr>
        <w:t xml:space="preserve">pojištěného/pojistníka, především </w:t>
      </w:r>
      <w:r w:rsidRPr="00C75758">
        <w:rPr>
          <w:rFonts w:ascii="Arial" w:hAnsi="Arial" w:cs="Arial"/>
          <w:b w:val="0"/>
          <w:bCs/>
          <w:i w:val="0"/>
          <w:iCs/>
          <w:sz w:val="20"/>
          <w:u w:val="none"/>
        </w:rPr>
        <w:t>objekty</w:t>
      </w:r>
      <w:r w:rsidRPr="00536DF6">
        <w:rPr>
          <w:rFonts w:ascii="Arial" w:hAnsi="Arial" w:cs="Arial"/>
          <w:b w:val="0"/>
          <w:bCs/>
          <w:i w:val="0"/>
          <w:iCs/>
          <w:sz w:val="20"/>
          <w:u w:val="none"/>
        </w:rPr>
        <w:t xml:space="preserve"> </w:t>
      </w:r>
      <w:r>
        <w:rPr>
          <w:rFonts w:ascii="Arial" w:hAnsi="Arial" w:cs="Arial"/>
          <w:b w:val="0"/>
          <w:i w:val="0"/>
          <w:sz w:val="20"/>
          <w:u w:val="none"/>
        </w:rPr>
        <w:t>Univerzity Palackého v Olomouci</w:t>
      </w:r>
      <w:r w:rsidRPr="00536DF6">
        <w:rPr>
          <w:rFonts w:ascii="Arial" w:hAnsi="Arial" w:cs="Arial"/>
          <w:b w:val="0"/>
          <w:bCs/>
          <w:i w:val="0"/>
          <w:iCs/>
          <w:sz w:val="20"/>
          <w:u w:val="none"/>
        </w:rPr>
        <w:t>. Pro pojištění odpovědnosti za újmu je místem plnění Evropa.</w:t>
      </w:r>
    </w:p>
    <w:p w14:paraId="5A4C59E6" w14:textId="33015809" w:rsidR="001A40ED" w:rsidRDefault="001A40ED" w:rsidP="001A40ED">
      <w:pPr>
        <w:pStyle w:val="Zkladntext"/>
        <w:spacing w:after="120" w:line="280" w:lineRule="atLeast"/>
        <w:jc w:val="both"/>
        <w:rPr>
          <w:rFonts w:ascii="Arial" w:hAnsi="Arial" w:cs="Arial"/>
          <w:b w:val="0"/>
          <w:bCs/>
          <w:i w:val="0"/>
          <w:iCs/>
          <w:sz w:val="20"/>
          <w:u w:val="none"/>
        </w:rPr>
      </w:pPr>
      <w:r>
        <w:rPr>
          <w:rFonts w:ascii="Arial" w:hAnsi="Arial" w:cs="Arial"/>
          <w:b w:val="0"/>
          <w:i w:val="0"/>
          <w:iCs/>
          <w:sz w:val="20"/>
          <w:u w:val="none"/>
        </w:rPr>
        <w:t>5.6</w:t>
      </w:r>
      <w:r w:rsidRPr="000C23EC">
        <w:rPr>
          <w:rFonts w:ascii="Arial" w:hAnsi="Arial" w:cs="Arial"/>
          <w:b w:val="0"/>
          <w:i w:val="0"/>
          <w:iCs/>
          <w:sz w:val="20"/>
          <w:u w:val="none"/>
        </w:rPr>
        <w:tab/>
        <w:t>Doba platnosti smlouvy</w:t>
      </w:r>
      <w:r w:rsidRPr="000C23EC">
        <w:rPr>
          <w:rFonts w:ascii="Arial" w:hAnsi="Arial" w:cs="Arial"/>
          <w:b w:val="0"/>
          <w:bCs/>
          <w:i w:val="0"/>
          <w:iCs/>
          <w:sz w:val="20"/>
          <w:u w:val="none"/>
        </w:rPr>
        <w:t xml:space="preserve"> v souladu s</w:t>
      </w:r>
      <w:r w:rsidR="00E531E2">
        <w:rPr>
          <w:rFonts w:ascii="Arial" w:hAnsi="Arial" w:cs="Arial"/>
          <w:b w:val="0"/>
          <w:bCs/>
          <w:i w:val="0"/>
          <w:iCs/>
          <w:sz w:val="20"/>
          <w:u w:val="none"/>
        </w:rPr>
        <w:t> </w:t>
      </w:r>
      <w:r w:rsidR="00E531E2" w:rsidRPr="00E531E2">
        <w:rPr>
          <w:rFonts w:ascii="Arial" w:hAnsi="Arial" w:cs="Arial"/>
          <w:b w:val="0"/>
          <w:bCs/>
          <w:i w:val="0"/>
          <w:iCs/>
          <w:sz w:val="20"/>
          <w:u w:val="none"/>
        </w:rPr>
        <w:t>bodem 1.</w:t>
      </w:r>
      <w:r w:rsidR="00700223">
        <w:rPr>
          <w:rFonts w:ascii="Arial" w:hAnsi="Arial" w:cs="Arial"/>
          <w:b w:val="0"/>
          <w:bCs/>
          <w:i w:val="0"/>
          <w:iCs/>
          <w:sz w:val="20"/>
          <w:u w:val="none"/>
        </w:rPr>
        <w:t>4</w:t>
      </w:r>
      <w:r w:rsidR="00E531E2" w:rsidRPr="00E531E2">
        <w:rPr>
          <w:rFonts w:ascii="Arial" w:hAnsi="Arial" w:cs="Arial"/>
          <w:b w:val="0"/>
          <w:bCs/>
          <w:i w:val="0"/>
          <w:iCs/>
          <w:sz w:val="20"/>
          <w:u w:val="none"/>
        </w:rPr>
        <w:t xml:space="preserve"> </w:t>
      </w:r>
      <w:r w:rsidRPr="00E531E2">
        <w:rPr>
          <w:rFonts w:ascii="Arial" w:hAnsi="Arial" w:cs="Arial"/>
          <w:b w:val="0"/>
          <w:bCs/>
          <w:i w:val="0"/>
          <w:iCs/>
          <w:sz w:val="20"/>
          <w:u w:val="none"/>
        </w:rPr>
        <w:t>ZD.</w:t>
      </w:r>
    </w:p>
    <w:p w14:paraId="2C0A8197" w14:textId="77777777" w:rsidR="001A40ED" w:rsidRPr="00B90A7C" w:rsidRDefault="001A40ED" w:rsidP="001A40ED">
      <w:pPr>
        <w:pStyle w:val="Zkladntext"/>
        <w:spacing w:line="280" w:lineRule="atLeast"/>
        <w:jc w:val="both"/>
        <w:rPr>
          <w:rFonts w:ascii="Arial" w:hAnsi="Arial" w:cs="Arial"/>
          <w:b w:val="0"/>
          <w:bCs/>
          <w:i w:val="0"/>
          <w:iCs/>
          <w:sz w:val="20"/>
          <w:u w:val="none"/>
        </w:rPr>
      </w:pPr>
    </w:p>
    <w:p w14:paraId="2A1A3E85" w14:textId="77777777" w:rsidR="001A40ED" w:rsidRPr="00B90A7C" w:rsidRDefault="001A40ED" w:rsidP="001A40ED">
      <w:pPr>
        <w:pStyle w:val="Zkladntext"/>
        <w:spacing w:after="120" w:line="280" w:lineRule="atLeast"/>
        <w:jc w:val="both"/>
        <w:rPr>
          <w:rFonts w:ascii="Arial" w:hAnsi="Arial" w:cs="Arial"/>
          <w:b w:val="0"/>
          <w:i w:val="0"/>
          <w:iCs/>
          <w:sz w:val="20"/>
          <w:u w:val="none"/>
        </w:rPr>
      </w:pPr>
      <w:r>
        <w:rPr>
          <w:rFonts w:ascii="Arial" w:hAnsi="Arial" w:cs="Arial"/>
          <w:b w:val="0"/>
          <w:i w:val="0"/>
          <w:iCs/>
          <w:sz w:val="20"/>
          <w:u w:val="none"/>
        </w:rPr>
        <w:t>5.7</w:t>
      </w:r>
      <w:r w:rsidRPr="00B90A7C">
        <w:rPr>
          <w:rFonts w:ascii="Arial" w:hAnsi="Arial" w:cs="Arial"/>
          <w:b w:val="0"/>
          <w:i w:val="0"/>
          <w:iCs/>
          <w:sz w:val="20"/>
          <w:u w:val="none"/>
        </w:rPr>
        <w:tab/>
        <w:t>Makléřská doložka:</w:t>
      </w:r>
    </w:p>
    <w:p w14:paraId="4BDD44CA" w14:textId="77777777" w:rsidR="001A40ED" w:rsidRPr="00B90A7C" w:rsidRDefault="001A40ED" w:rsidP="00035499">
      <w:pPr>
        <w:pStyle w:val="Zkladntext"/>
        <w:spacing w:after="120" w:line="280" w:lineRule="atLeast"/>
        <w:ind w:left="709"/>
        <w:jc w:val="both"/>
        <w:rPr>
          <w:rFonts w:ascii="Arial" w:hAnsi="Arial" w:cs="Arial"/>
          <w:b w:val="0"/>
          <w:bCs/>
          <w:sz w:val="20"/>
          <w:u w:val="none"/>
        </w:rPr>
      </w:pPr>
      <w:r w:rsidRPr="00B90A7C">
        <w:rPr>
          <w:rFonts w:ascii="Arial" w:hAnsi="Arial" w:cs="Arial"/>
          <w:b w:val="0"/>
          <w:bCs/>
          <w:sz w:val="20"/>
          <w:u w:val="none"/>
        </w:rPr>
        <w:t>„Vedením a zpracováním pojistného zájmu pojištěného/pojistníka bude pověřen pojišťovací makléř RENOMIA, a. s.</w:t>
      </w:r>
      <w:r>
        <w:rPr>
          <w:rFonts w:ascii="Arial" w:hAnsi="Arial" w:cs="Arial"/>
          <w:b w:val="0"/>
          <w:bCs/>
          <w:sz w:val="20"/>
          <w:u w:val="none"/>
        </w:rPr>
        <w:t xml:space="preserve">, </w:t>
      </w:r>
      <w:r w:rsidRPr="00393829">
        <w:rPr>
          <w:rFonts w:ascii="Arial" w:hAnsi="Arial" w:cs="Arial"/>
          <w:b w:val="0"/>
          <w:bCs/>
          <w:sz w:val="20"/>
          <w:u w:val="none"/>
        </w:rPr>
        <w:t>se sídlem Holandská 874/8, Štýřice, 639 00 Brno, IČ: 48391301.</w:t>
      </w:r>
      <w:r w:rsidRPr="00B90A7C">
        <w:rPr>
          <w:rFonts w:ascii="Arial" w:hAnsi="Arial" w:cs="Arial"/>
          <w:b w:val="0"/>
          <w:bCs/>
          <w:sz w:val="20"/>
          <w:u w:val="none"/>
        </w:rPr>
        <w:t xml:space="preserve"> Obchodní styk, který se bude týkat této pojistné smlouvy (smluv), bude prováděn výhradně prostřednictvím pojistníkem zplnomocněného pojišťovacího makléře, který je oprávněn přijímat rozhodnutí smluvních partnerů.“</w:t>
      </w:r>
    </w:p>
    <w:p w14:paraId="09ED21E9" w14:textId="662E5886" w:rsidR="00182262" w:rsidRDefault="00035499" w:rsidP="001A40ED">
      <w:pPr>
        <w:pStyle w:val="Zkladntext3"/>
        <w:spacing w:line="280" w:lineRule="atLeast"/>
        <w:ind w:left="703" w:hanging="703"/>
        <w:rPr>
          <w:rFonts w:cs="Arial"/>
          <w:bCs/>
          <w:sz w:val="20"/>
          <w:szCs w:val="20"/>
        </w:rPr>
      </w:pPr>
      <w:r>
        <w:rPr>
          <w:rFonts w:cs="Arial"/>
          <w:bCs/>
          <w:sz w:val="20"/>
          <w:szCs w:val="20"/>
        </w:rPr>
        <w:t>5.8</w:t>
      </w:r>
      <w:r w:rsidR="001A40ED" w:rsidRPr="00B90A7C">
        <w:rPr>
          <w:rFonts w:cs="Arial"/>
          <w:bCs/>
          <w:sz w:val="20"/>
          <w:szCs w:val="20"/>
        </w:rPr>
        <w:t>.</w:t>
      </w:r>
      <w:r w:rsidR="001A40ED" w:rsidRPr="00B90A7C">
        <w:rPr>
          <w:rFonts w:cs="Arial"/>
          <w:bCs/>
          <w:sz w:val="20"/>
          <w:szCs w:val="20"/>
        </w:rPr>
        <w:tab/>
      </w:r>
      <w:r>
        <w:rPr>
          <w:rFonts w:cs="Arial"/>
          <w:bCs/>
          <w:sz w:val="20"/>
          <w:szCs w:val="20"/>
        </w:rPr>
        <w:t>Platnost / účinnost pojistné smlouvy</w:t>
      </w:r>
    </w:p>
    <w:p w14:paraId="2A068651" w14:textId="4C8C703E" w:rsidR="00035499" w:rsidRPr="00035499" w:rsidRDefault="00035499" w:rsidP="00035499">
      <w:pPr>
        <w:pStyle w:val="Zkladntext3"/>
        <w:spacing w:line="280" w:lineRule="atLeast"/>
        <w:ind w:left="703" w:firstLine="6"/>
        <w:rPr>
          <w:rFonts w:cs="Arial"/>
          <w:bCs/>
          <w:i/>
          <w:iCs/>
          <w:sz w:val="20"/>
          <w:szCs w:val="20"/>
        </w:rPr>
      </w:pPr>
      <w:r w:rsidRPr="00035499">
        <w:rPr>
          <w:rFonts w:cs="Arial"/>
          <w:bCs/>
          <w:i/>
          <w:iCs/>
          <w:sz w:val="20"/>
          <w:szCs w:val="20"/>
        </w:rPr>
        <w:t>Pojistná smlouva nabývá platnosti dnem podpisu poslední smluvní stranou a účinnosti dnem uveřejnění této smlouvy pojistníkem v registru smluv dle zákona č. 340/2015 Sb., o zvláštních podmínkách účinnosti některých smluv, uveřejňování těchto smluv a o registru smluv, v účinném znění, jelikož pojistná smlouva podléhá povinnosti uveřejnění v registru smluv, s čímž obě smluvní strany souhlasí.</w:t>
      </w:r>
    </w:p>
    <w:p w14:paraId="02A4D65F" w14:textId="78832BE6" w:rsidR="001A40ED" w:rsidRPr="00B90A7C" w:rsidRDefault="00035499" w:rsidP="001A40ED">
      <w:pPr>
        <w:pStyle w:val="Zkladntext3"/>
        <w:spacing w:line="280" w:lineRule="atLeast"/>
        <w:ind w:left="703" w:hanging="703"/>
        <w:rPr>
          <w:rFonts w:cs="Arial"/>
          <w:bCs/>
          <w:sz w:val="20"/>
          <w:szCs w:val="20"/>
        </w:rPr>
      </w:pPr>
      <w:r>
        <w:rPr>
          <w:rFonts w:cs="Arial"/>
          <w:bCs/>
          <w:sz w:val="20"/>
          <w:szCs w:val="20"/>
        </w:rPr>
        <w:t>6.</w:t>
      </w:r>
      <w:r>
        <w:rPr>
          <w:rFonts w:cs="Arial"/>
          <w:bCs/>
          <w:sz w:val="20"/>
          <w:szCs w:val="20"/>
        </w:rPr>
        <w:tab/>
      </w:r>
      <w:r w:rsidR="001A40ED" w:rsidRPr="00B90A7C">
        <w:rPr>
          <w:rFonts w:cs="Arial"/>
          <w:bCs/>
          <w:sz w:val="20"/>
          <w:szCs w:val="20"/>
        </w:rPr>
        <w:t xml:space="preserve">Závazek pojistitele, že bude garantovat sazby pojistného uvedené v jeho nabídce (návrhu smlouvy) po celou dobu plnění veřejné zakázky, tj. po dobu </w:t>
      </w:r>
      <w:r w:rsidR="001A40ED">
        <w:rPr>
          <w:rFonts w:cs="Arial"/>
          <w:bCs/>
          <w:sz w:val="20"/>
          <w:szCs w:val="20"/>
        </w:rPr>
        <w:t>3</w:t>
      </w:r>
      <w:r w:rsidR="001A40ED" w:rsidRPr="00B90A7C">
        <w:rPr>
          <w:rFonts w:cs="Arial"/>
          <w:bCs/>
          <w:sz w:val="20"/>
          <w:szCs w:val="20"/>
        </w:rPr>
        <w:t xml:space="preserve"> let, a to i v případech nově pořízeného majetku pojištěným/pojistníkem. </w:t>
      </w:r>
    </w:p>
    <w:p w14:paraId="08C0BDF3" w14:textId="125ABBD1" w:rsidR="001A40ED" w:rsidRPr="00B90A7C" w:rsidRDefault="00035499" w:rsidP="001A40ED">
      <w:pPr>
        <w:pStyle w:val="Zkladntext3"/>
        <w:spacing w:line="280" w:lineRule="atLeast"/>
        <w:ind w:left="703" w:hanging="703"/>
        <w:rPr>
          <w:rFonts w:cs="Arial"/>
          <w:bCs/>
          <w:sz w:val="20"/>
          <w:szCs w:val="20"/>
        </w:rPr>
      </w:pPr>
      <w:r>
        <w:rPr>
          <w:rFonts w:cs="Arial"/>
          <w:bCs/>
          <w:sz w:val="20"/>
          <w:szCs w:val="20"/>
        </w:rPr>
        <w:t>7</w:t>
      </w:r>
      <w:r w:rsidR="001A40ED" w:rsidRPr="00B90A7C">
        <w:rPr>
          <w:rFonts w:cs="Arial"/>
          <w:bCs/>
          <w:sz w:val="20"/>
          <w:szCs w:val="20"/>
        </w:rPr>
        <w:t>.</w:t>
      </w:r>
      <w:r w:rsidR="001A40ED" w:rsidRPr="00B90A7C">
        <w:rPr>
          <w:rFonts w:cs="Arial"/>
          <w:bCs/>
          <w:sz w:val="20"/>
          <w:szCs w:val="20"/>
        </w:rPr>
        <w:tab/>
        <w:t>Ujednání o tom, že pojistným obdobím je jeden rok.</w:t>
      </w:r>
    </w:p>
    <w:p w14:paraId="6543D909" w14:textId="58502A29" w:rsidR="001A40ED" w:rsidRDefault="00035499" w:rsidP="001A40ED">
      <w:pPr>
        <w:pStyle w:val="Zkladntext"/>
        <w:spacing w:after="120" w:line="280" w:lineRule="atLeast"/>
        <w:ind w:left="705" w:hanging="705"/>
        <w:jc w:val="both"/>
        <w:rPr>
          <w:rFonts w:ascii="Arial" w:hAnsi="Arial" w:cs="Arial"/>
          <w:b w:val="0"/>
          <w:i w:val="0"/>
          <w:sz w:val="20"/>
          <w:u w:val="none"/>
        </w:rPr>
      </w:pPr>
      <w:r>
        <w:rPr>
          <w:rFonts w:ascii="Arial" w:hAnsi="Arial" w:cs="Arial"/>
          <w:b w:val="0"/>
          <w:i w:val="0"/>
          <w:sz w:val="20"/>
          <w:u w:val="none"/>
        </w:rPr>
        <w:t>8.</w:t>
      </w:r>
      <w:r w:rsidR="001A40ED" w:rsidRPr="00B90A7C">
        <w:rPr>
          <w:rFonts w:ascii="Arial" w:hAnsi="Arial" w:cs="Arial"/>
          <w:b w:val="0"/>
          <w:i w:val="0"/>
          <w:sz w:val="20"/>
          <w:u w:val="none"/>
        </w:rPr>
        <w:tab/>
        <w:t xml:space="preserve">Návrhy smluv musí dále obsahovat </w:t>
      </w:r>
      <w:r w:rsidR="001A40ED" w:rsidRPr="00B90A7C">
        <w:rPr>
          <w:rFonts w:ascii="Arial" w:hAnsi="Arial" w:cs="Arial"/>
          <w:bCs/>
          <w:i w:val="0"/>
          <w:sz w:val="20"/>
        </w:rPr>
        <w:t>smluvní ujednání</w:t>
      </w:r>
      <w:r w:rsidR="001A40ED" w:rsidRPr="00B90A7C">
        <w:rPr>
          <w:rFonts w:ascii="Arial" w:hAnsi="Arial" w:cs="Arial"/>
          <w:b w:val="0"/>
          <w:i w:val="0"/>
          <w:sz w:val="20"/>
          <w:u w:val="none"/>
        </w:rPr>
        <w:t xml:space="preserve"> </w:t>
      </w:r>
      <w:r w:rsidR="001A40ED" w:rsidRPr="00C75758">
        <w:rPr>
          <w:rFonts w:ascii="Arial" w:hAnsi="Arial" w:cs="Arial"/>
          <w:b w:val="0"/>
          <w:i w:val="0"/>
          <w:sz w:val="20"/>
        </w:rPr>
        <w:t>(zvláštní obchodní podmínky)</w:t>
      </w:r>
      <w:r w:rsidR="001A40ED">
        <w:rPr>
          <w:rFonts w:ascii="Arial" w:hAnsi="Arial" w:cs="Arial"/>
          <w:b w:val="0"/>
          <w:i w:val="0"/>
          <w:sz w:val="20"/>
          <w:u w:val="none"/>
        </w:rPr>
        <w:t xml:space="preserve"> </w:t>
      </w:r>
      <w:r w:rsidR="001A40ED" w:rsidRPr="00B90A7C">
        <w:rPr>
          <w:rFonts w:ascii="Arial" w:hAnsi="Arial" w:cs="Arial"/>
          <w:b w:val="0"/>
          <w:i w:val="0"/>
          <w:sz w:val="20"/>
          <w:u w:val="none"/>
        </w:rPr>
        <w:t>vztahující se k jednotlivým druhům pojištění, a to zejména:</w:t>
      </w:r>
    </w:p>
    <w:p w14:paraId="20E0EB22" w14:textId="47206AF3" w:rsidR="00450AC2" w:rsidRPr="00B90A7C" w:rsidRDefault="00450AC2" w:rsidP="00D71CDE">
      <w:pPr>
        <w:pStyle w:val="Nadpis2"/>
        <w:spacing w:before="240" w:after="120"/>
        <w:rPr>
          <w:color w:val="auto"/>
        </w:rPr>
      </w:pPr>
      <w:r w:rsidRPr="00B90A7C">
        <w:rPr>
          <w:color w:val="auto"/>
        </w:rPr>
        <w:t>Majetkové pojištění</w:t>
      </w:r>
    </w:p>
    <w:p w14:paraId="6FA92E59" w14:textId="77777777" w:rsidR="00450AC2" w:rsidRPr="002031B5" w:rsidRDefault="00450AC2" w:rsidP="002031B5">
      <w:pPr>
        <w:pStyle w:val="Odstavecseseznamem"/>
        <w:numPr>
          <w:ilvl w:val="0"/>
          <w:numId w:val="17"/>
        </w:numPr>
        <w:spacing w:after="120" w:line="280" w:lineRule="atLeast"/>
        <w:ind w:left="227" w:firstLine="0"/>
        <w:rPr>
          <w:rFonts w:cs="Arial"/>
          <w:b/>
          <w:sz w:val="20"/>
          <w:szCs w:val="20"/>
        </w:rPr>
      </w:pPr>
      <w:r w:rsidRPr="002031B5">
        <w:rPr>
          <w:rFonts w:cs="Arial"/>
          <w:b/>
          <w:sz w:val="20"/>
          <w:szCs w:val="20"/>
        </w:rPr>
        <w:t>Automatické pojištění nového majetku</w:t>
      </w:r>
    </w:p>
    <w:p w14:paraId="4863F29C" w14:textId="3A7A0C44" w:rsidR="00450AC2" w:rsidRPr="00B90A7C" w:rsidRDefault="00450AC2" w:rsidP="00A473EA">
      <w:pPr>
        <w:spacing w:after="120" w:line="280" w:lineRule="atLeast"/>
        <w:ind w:left="227"/>
        <w:rPr>
          <w:rFonts w:cs="Arial"/>
          <w:sz w:val="20"/>
          <w:szCs w:val="20"/>
        </w:rPr>
      </w:pPr>
      <w:r w:rsidRPr="000B13F1">
        <w:rPr>
          <w:rFonts w:cs="Arial"/>
          <w:sz w:val="20"/>
          <w:szCs w:val="20"/>
        </w:rPr>
        <w:t xml:space="preserve">Ujednává se, že veškerý nový majetek, který pojištěný nabude v průběhu pojistného období, je automaticky zahrnut do pojištění. Zvýší-li se tím pojistná částka o méně než 10%, </w:t>
      </w:r>
      <w:r w:rsidR="000B13F1" w:rsidRPr="000B13F1">
        <w:rPr>
          <w:rFonts w:cs="Arial"/>
          <w:sz w:val="20"/>
          <w:szCs w:val="20"/>
        </w:rPr>
        <w:t xml:space="preserve">avšak </w:t>
      </w:r>
      <w:r w:rsidR="002031B5">
        <w:rPr>
          <w:rFonts w:cs="Arial"/>
          <w:sz w:val="20"/>
          <w:szCs w:val="20"/>
        </w:rPr>
        <w:br/>
      </w:r>
      <w:r w:rsidR="000B13F1" w:rsidRPr="000B13F1">
        <w:rPr>
          <w:rFonts w:cs="Arial"/>
          <w:sz w:val="20"/>
          <w:szCs w:val="20"/>
        </w:rPr>
        <w:t>max.</w:t>
      </w:r>
      <w:r w:rsidR="007804DF">
        <w:rPr>
          <w:rFonts w:cs="Arial"/>
          <w:sz w:val="20"/>
          <w:szCs w:val="20"/>
        </w:rPr>
        <w:t xml:space="preserve"> </w:t>
      </w:r>
      <w:r w:rsidR="005E554C">
        <w:rPr>
          <w:rFonts w:cs="Arial"/>
          <w:sz w:val="20"/>
          <w:szCs w:val="20"/>
        </w:rPr>
        <w:t xml:space="preserve">o </w:t>
      </w:r>
      <w:r w:rsidR="006B3A44">
        <w:rPr>
          <w:rFonts w:cs="Arial"/>
          <w:sz w:val="20"/>
          <w:szCs w:val="20"/>
        </w:rPr>
        <w:t>5</w:t>
      </w:r>
      <w:r w:rsidR="000B13F1" w:rsidRPr="000B13F1">
        <w:rPr>
          <w:rFonts w:cs="Arial"/>
          <w:sz w:val="20"/>
          <w:szCs w:val="20"/>
        </w:rPr>
        <w:t>00 000 000 Kč</w:t>
      </w:r>
      <w:r w:rsidR="001C237D">
        <w:rPr>
          <w:rFonts w:cs="Arial"/>
          <w:sz w:val="20"/>
          <w:szCs w:val="20"/>
        </w:rPr>
        <w:t>,</w:t>
      </w:r>
      <w:r w:rsidR="000B13F1" w:rsidRPr="000B13F1">
        <w:rPr>
          <w:rFonts w:cs="Arial"/>
          <w:sz w:val="20"/>
          <w:szCs w:val="20"/>
        </w:rPr>
        <w:t xml:space="preserve"> </w:t>
      </w:r>
      <w:r w:rsidRPr="000B13F1">
        <w:rPr>
          <w:rFonts w:cs="Arial"/>
          <w:sz w:val="20"/>
          <w:szCs w:val="20"/>
        </w:rPr>
        <w:t xml:space="preserve">nebude pojistitel požadovat doplatek pojistného. Pojištěný je povinen oznámit navýšení pojistných částek, pokud dojde ke zvýšení hodnoty pojištěných věcí v průběhu pojistného období o více než </w:t>
      </w:r>
      <w:r w:rsidR="006B3A44">
        <w:rPr>
          <w:rFonts w:cs="Arial"/>
          <w:sz w:val="20"/>
          <w:szCs w:val="20"/>
        </w:rPr>
        <w:t>5</w:t>
      </w:r>
      <w:r w:rsidR="000B13F1" w:rsidRPr="000B13F1">
        <w:rPr>
          <w:rFonts w:cs="Arial"/>
          <w:sz w:val="20"/>
          <w:szCs w:val="20"/>
        </w:rPr>
        <w:t>00 000 000 Kč</w:t>
      </w:r>
      <w:r w:rsidRPr="000B13F1">
        <w:rPr>
          <w:rFonts w:cs="Arial"/>
          <w:sz w:val="20"/>
          <w:szCs w:val="20"/>
        </w:rPr>
        <w:t>. Pojistitel se zavazuje účtovat dodatečné pojistné vypočtené pojistnou sazbou použitou pro výpočet pojistného uvedeného v pojistné smlouvě.</w:t>
      </w:r>
    </w:p>
    <w:p w14:paraId="3D5F2243" w14:textId="77777777" w:rsidR="00450AC2" w:rsidRPr="002031B5" w:rsidRDefault="00450AC2" w:rsidP="002031B5">
      <w:pPr>
        <w:pStyle w:val="Odstavecseseznamem"/>
        <w:numPr>
          <w:ilvl w:val="0"/>
          <w:numId w:val="17"/>
        </w:numPr>
        <w:spacing w:after="120" w:line="280" w:lineRule="atLeast"/>
        <w:ind w:left="227" w:firstLine="0"/>
        <w:rPr>
          <w:rFonts w:cs="Arial"/>
          <w:b/>
          <w:sz w:val="20"/>
          <w:szCs w:val="20"/>
        </w:rPr>
      </w:pPr>
      <w:r w:rsidRPr="002031B5">
        <w:rPr>
          <w:rFonts w:cs="Arial"/>
          <w:b/>
          <w:sz w:val="20"/>
          <w:szCs w:val="20"/>
        </w:rPr>
        <w:t>Spoluúčast – pojistná událost na více souborech</w:t>
      </w:r>
    </w:p>
    <w:p w14:paraId="05B24B25" w14:textId="77777777" w:rsidR="00450AC2" w:rsidRPr="00B90A7C" w:rsidRDefault="00450AC2" w:rsidP="00A473EA">
      <w:pPr>
        <w:spacing w:after="120" w:line="280" w:lineRule="atLeast"/>
        <w:ind w:left="227"/>
        <w:rPr>
          <w:rFonts w:cs="Arial"/>
          <w:sz w:val="20"/>
          <w:szCs w:val="20"/>
        </w:rPr>
      </w:pPr>
      <w:r w:rsidRPr="000B13F1">
        <w:rPr>
          <w:rFonts w:cs="Arial"/>
          <w:sz w:val="20"/>
          <w:szCs w:val="20"/>
        </w:rPr>
        <w:t xml:space="preserve">V případě pojistné události na více pojištěných souborech (z téže příčiny) odečte pojistitel pouze jednu spoluúčast, a to nejvyšší sjednanou, pokud není pro klienta výhodnější odečtení spoluúčastí </w:t>
      </w:r>
      <w:r w:rsidR="003C368E" w:rsidRPr="000B13F1">
        <w:rPr>
          <w:rFonts w:cs="Arial"/>
          <w:sz w:val="20"/>
          <w:szCs w:val="20"/>
        </w:rPr>
        <w:br/>
      </w:r>
      <w:r w:rsidRPr="000B13F1">
        <w:rPr>
          <w:rFonts w:cs="Arial"/>
          <w:sz w:val="20"/>
          <w:szCs w:val="20"/>
        </w:rPr>
        <w:t>z jednotlivých předmětů pojištění, jichž se pojistná událost týká. Toto se vztahuje také na případy, kdy pojistná událost nastane z téže příčiny na více místech pojištění.</w:t>
      </w:r>
    </w:p>
    <w:p w14:paraId="23F98603" w14:textId="77777777" w:rsidR="00450AC2" w:rsidRPr="002031B5" w:rsidRDefault="00450AC2" w:rsidP="002031B5">
      <w:pPr>
        <w:pStyle w:val="Odstavecseseznamem"/>
        <w:numPr>
          <w:ilvl w:val="0"/>
          <w:numId w:val="17"/>
        </w:numPr>
        <w:spacing w:after="120" w:line="280" w:lineRule="atLeast"/>
        <w:ind w:left="227" w:firstLine="0"/>
        <w:rPr>
          <w:rFonts w:cs="Arial"/>
          <w:b/>
          <w:sz w:val="20"/>
          <w:szCs w:val="20"/>
        </w:rPr>
      </w:pPr>
      <w:r w:rsidRPr="002031B5">
        <w:rPr>
          <w:rFonts w:cs="Arial"/>
          <w:b/>
          <w:sz w:val="20"/>
          <w:szCs w:val="20"/>
        </w:rPr>
        <w:t xml:space="preserve">Katastrofická rizika </w:t>
      </w:r>
      <w:r w:rsidR="002031B5">
        <w:rPr>
          <w:rFonts w:cs="Arial"/>
          <w:b/>
          <w:sz w:val="20"/>
          <w:szCs w:val="20"/>
        </w:rPr>
        <w:t>–</w:t>
      </w:r>
      <w:r w:rsidRPr="002031B5">
        <w:rPr>
          <w:rFonts w:cs="Arial"/>
          <w:b/>
          <w:sz w:val="20"/>
          <w:szCs w:val="20"/>
        </w:rPr>
        <w:t xml:space="preserve"> </w:t>
      </w:r>
      <w:r w:rsidR="002031B5">
        <w:rPr>
          <w:rFonts w:cs="Arial"/>
          <w:b/>
          <w:sz w:val="20"/>
          <w:szCs w:val="20"/>
        </w:rPr>
        <w:t>časové vymezení 1 pojistné události</w:t>
      </w:r>
    </w:p>
    <w:p w14:paraId="3696E414" w14:textId="77777777" w:rsidR="00450AC2" w:rsidRPr="00B90A7C" w:rsidRDefault="00450AC2" w:rsidP="00A473EA">
      <w:pPr>
        <w:spacing w:after="120" w:line="280" w:lineRule="atLeast"/>
        <w:ind w:left="227"/>
        <w:rPr>
          <w:rFonts w:cs="Arial"/>
          <w:sz w:val="20"/>
          <w:szCs w:val="20"/>
        </w:rPr>
      </w:pPr>
      <w:r w:rsidRPr="000B13F1">
        <w:rPr>
          <w:rFonts w:cs="Arial"/>
          <w:sz w:val="20"/>
          <w:szCs w:val="20"/>
        </w:rPr>
        <w:t>Ujednává se</w:t>
      </w:r>
      <w:r w:rsidR="003C368E" w:rsidRPr="000B13F1">
        <w:rPr>
          <w:rFonts w:cs="Arial"/>
          <w:sz w:val="20"/>
          <w:szCs w:val="20"/>
        </w:rPr>
        <w:t>, že u škod způsobených riziky „</w:t>
      </w:r>
      <w:r w:rsidRPr="000B13F1">
        <w:rPr>
          <w:rFonts w:cs="Arial"/>
          <w:sz w:val="20"/>
          <w:szCs w:val="20"/>
        </w:rPr>
        <w:t>záplava, povodeň"</w:t>
      </w:r>
      <w:r w:rsidR="003C368E" w:rsidRPr="000B13F1">
        <w:rPr>
          <w:rFonts w:cs="Arial"/>
          <w:sz w:val="20"/>
          <w:szCs w:val="20"/>
        </w:rPr>
        <w:t xml:space="preserve"> a „zemětřesení“</w:t>
      </w:r>
      <w:r w:rsidRPr="000B13F1">
        <w:rPr>
          <w:rFonts w:cs="Arial"/>
          <w:sz w:val="20"/>
          <w:szCs w:val="20"/>
        </w:rPr>
        <w:t xml:space="preserve"> a nastalých z jedné příčiny během 72 hodin se odečítá pouze jedna spoluúčast, pro riziko "vichřice a krupobití" platí časová lhůta 48 hodin. Toto ujednání se vztahuje také na případy, kdy pojistná událost nastane </w:t>
      </w:r>
      <w:r w:rsidR="00201B15" w:rsidRPr="000B13F1">
        <w:rPr>
          <w:rFonts w:cs="Arial"/>
          <w:sz w:val="20"/>
          <w:szCs w:val="20"/>
        </w:rPr>
        <w:br/>
      </w:r>
      <w:r w:rsidRPr="000B13F1">
        <w:rPr>
          <w:rFonts w:cs="Arial"/>
          <w:sz w:val="20"/>
          <w:szCs w:val="20"/>
        </w:rPr>
        <w:t>z téže příčiny na více místech pojištění.</w:t>
      </w:r>
    </w:p>
    <w:p w14:paraId="069698EF" w14:textId="49E4D6AF" w:rsidR="00AD717B" w:rsidRDefault="00AD717B" w:rsidP="002031B5">
      <w:pPr>
        <w:pStyle w:val="Odstavecseseznamem"/>
        <w:numPr>
          <w:ilvl w:val="0"/>
          <w:numId w:val="17"/>
        </w:numPr>
        <w:spacing w:after="120" w:line="280" w:lineRule="atLeast"/>
        <w:ind w:left="227" w:firstLine="0"/>
        <w:rPr>
          <w:rFonts w:cs="Arial"/>
          <w:b/>
          <w:sz w:val="20"/>
          <w:szCs w:val="20"/>
        </w:rPr>
      </w:pPr>
      <w:r>
        <w:rPr>
          <w:rFonts w:cs="Arial"/>
          <w:b/>
          <w:sz w:val="20"/>
          <w:szCs w:val="20"/>
        </w:rPr>
        <w:t>Povodeň, záplava – čekací doba</w:t>
      </w:r>
    </w:p>
    <w:p w14:paraId="65381EC7" w14:textId="4C6B4133" w:rsidR="00035499" w:rsidRDefault="00AD717B" w:rsidP="00AD717B">
      <w:pPr>
        <w:spacing w:after="120" w:line="280" w:lineRule="atLeast"/>
        <w:ind w:left="227"/>
        <w:rPr>
          <w:rFonts w:cs="Arial"/>
          <w:sz w:val="20"/>
          <w:szCs w:val="20"/>
        </w:rPr>
      </w:pPr>
      <w:r w:rsidRPr="00AD717B">
        <w:rPr>
          <w:rFonts w:cs="Arial"/>
          <w:sz w:val="20"/>
          <w:szCs w:val="20"/>
        </w:rPr>
        <w:t>Odchylně od příslušných pojistných podmínek se ujednává, že pojištění pro případ povodně a záplavy se sjednává bez čekací doby.</w:t>
      </w:r>
    </w:p>
    <w:p w14:paraId="49B126C1" w14:textId="77777777" w:rsidR="00035499" w:rsidRDefault="00035499">
      <w:pPr>
        <w:jc w:val="left"/>
        <w:rPr>
          <w:rFonts w:cs="Arial"/>
          <w:sz w:val="20"/>
          <w:szCs w:val="20"/>
        </w:rPr>
      </w:pPr>
      <w:r>
        <w:rPr>
          <w:rFonts w:cs="Arial"/>
          <w:sz w:val="20"/>
          <w:szCs w:val="20"/>
        </w:rPr>
        <w:br w:type="page"/>
      </w:r>
    </w:p>
    <w:p w14:paraId="4431FAB1" w14:textId="77777777" w:rsidR="00AD717B" w:rsidRDefault="00AD717B" w:rsidP="00AD717B">
      <w:pPr>
        <w:spacing w:after="120" w:line="280" w:lineRule="atLeast"/>
        <w:ind w:left="227"/>
        <w:rPr>
          <w:rFonts w:cs="Arial"/>
          <w:sz w:val="20"/>
          <w:szCs w:val="20"/>
        </w:rPr>
      </w:pPr>
    </w:p>
    <w:p w14:paraId="26AD1935" w14:textId="24506AA5" w:rsidR="00AD717B" w:rsidRDefault="00AD717B" w:rsidP="00AD717B">
      <w:pPr>
        <w:pStyle w:val="Odstavecseseznamem"/>
        <w:numPr>
          <w:ilvl w:val="0"/>
          <w:numId w:val="17"/>
        </w:numPr>
        <w:spacing w:after="120" w:line="280" w:lineRule="atLeast"/>
        <w:ind w:left="227" w:firstLine="0"/>
        <w:rPr>
          <w:rFonts w:cs="Arial"/>
          <w:b/>
          <w:sz w:val="20"/>
          <w:szCs w:val="20"/>
        </w:rPr>
      </w:pPr>
      <w:r>
        <w:rPr>
          <w:rFonts w:cs="Arial"/>
          <w:b/>
          <w:sz w:val="20"/>
          <w:szCs w:val="20"/>
        </w:rPr>
        <w:t>Vichřice, krupobití – čekací doba</w:t>
      </w:r>
    </w:p>
    <w:p w14:paraId="59ACDD9E" w14:textId="7B754F05" w:rsidR="001A40ED" w:rsidRDefault="00AD717B" w:rsidP="00AD717B">
      <w:pPr>
        <w:spacing w:after="120" w:line="280" w:lineRule="atLeast"/>
        <w:ind w:left="227"/>
        <w:rPr>
          <w:rFonts w:cs="Arial"/>
          <w:sz w:val="20"/>
          <w:szCs w:val="20"/>
        </w:rPr>
      </w:pPr>
      <w:r w:rsidRPr="00AD717B">
        <w:rPr>
          <w:rFonts w:cs="Arial"/>
          <w:sz w:val="20"/>
          <w:szCs w:val="20"/>
        </w:rPr>
        <w:t>Odchylně od příslušných pojistných podmínek se ujednává, že pojištění pro případ vichřice a krupobití se sjednává bez čekací doby.</w:t>
      </w:r>
    </w:p>
    <w:p w14:paraId="06945E05" w14:textId="12E216EF" w:rsidR="005040C6" w:rsidRDefault="005040C6" w:rsidP="00AD717B">
      <w:pPr>
        <w:pStyle w:val="Odstavecseseznamem"/>
        <w:numPr>
          <w:ilvl w:val="0"/>
          <w:numId w:val="17"/>
        </w:numPr>
        <w:spacing w:after="120" w:line="280" w:lineRule="atLeast"/>
        <w:ind w:left="227" w:firstLine="0"/>
        <w:contextualSpacing w:val="0"/>
        <w:rPr>
          <w:rFonts w:cs="Arial"/>
          <w:b/>
          <w:sz w:val="20"/>
          <w:szCs w:val="20"/>
        </w:rPr>
      </w:pPr>
      <w:r w:rsidRPr="002031B5">
        <w:rPr>
          <w:rFonts w:cs="Arial"/>
          <w:b/>
          <w:sz w:val="20"/>
          <w:szCs w:val="20"/>
        </w:rPr>
        <w:t>Vodovodní škody</w:t>
      </w:r>
      <w:r w:rsidR="0060172E">
        <w:rPr>
          <w:rFonts w:cs="Arial"/>
          <w:b/>
          <w:sz w:val="20"/>
          <w:szCs w:val="20"/>
        </w:rPr>
        <w:t xml:space="preserve"> – obecné</w:t>
      </w:r>
    </w:p>
    <w:p w14:paraId="4321B37C" w14:textId="785804B3" w:rsidR="0060172E" w:rsidRDefault="0060172E" w:rsidP="0060172E">
      <w:pPr>
        <w:pStyle w:val="Odstavecseseznamem"/>
        <w:spacing w:after="120" w:line="280" w:lineRule="atLeast"/>
        <w:ind w:left="227"/>
        <w:contextualSpacing w:val="0"/>
        <w:rPr>
          <w:rFonts w:cs="Arial"/>
          <w:bCs/>
          <w:sz w:val="20"/>
          <w:szCs w:val="20"/>
        </w:rPr>
      </w:pPr>
      <w:r w:rsidRPr="0060172E">
        <w:rPr>
          <w:rFonts w:cs="Arial"/>
          <w:bCs/>
          <w:sz w:val="20"/>
          <w:szCs w:val="20"/>
        </w:rPr>
        <w:t>Pro pojištění vodovodních škod se ujednává také krytí škod z vodovodních či kanalizačních potrubí a zařízeních připojených na potrubí způsobených lomem trubky, přetlakem páry nebo kapal</w:t>
      </w:r>
      <w:r>
        <w:rPr>
          <w:rFonts w:cs="Arial"/>
          <w:bCs/>
          <w:sz w:val="20"/>
          <w:szCs w:val="20"/>
        </w:rPr>
        <w:t>i</w:t>
      </w:r>
      <w:r w:rsidRPr="0060172E">
        <w:rPr>
          <w:rFonts w:cs="Arial"/>
          <w:bCs/>
          <w:sz w:val="20"/>
          <w:szCs w:val="20"/>
        </w:rPr>
        <w:t>ny</w:t>
      </w:r>
      <w:r>
        <w:rPr>
          <w:rFonts w:cs="Arial"/>
          <w:bCs/>
          <w:sz w:val="20"/>
          <w:szCs w:val="20"/>
        </w:rPr>
        <w:t xml:space="preserve"> </w:t>
      </w:r>
      <w:r w:rsidRPr="0060172E">
        <w:rPr>
          <w:rFonts w:cs="Arial"/>
          <w:bCs/>
          <w:sz w:val="20"/>
          <w:szCs w:val="20"/>
        </w:rPr>
        <w:t>nebo zamrznutím vody ve vodovodním či kanalizačním potrubí a zařízeních připojených na</w:t>
      </w:r>
      <w:r>
        <w:rPr>
          <w:rFonts w:cs="Arial"/>
          <w:bCs/>
          <w:sz w:val="20"/>
          <w:szCs w:val="20"/>
        </w:rPr>
        <w:t xml:space="preserve"> </w:t>
      </w:r>
      <w:r w:rsidRPr="0060172E">
        <w:rPr>
          <w:rFonts w:cs="Arial"/>
          <w:bCs/>
          <w:sz w:val="20"/>
          <w:szCs w:val="20"/>
        </w:rPr>
        <w:t>potrubí, únikem vody či jiného media vytékajícího z klimatizačního zařízení, technologií,</w:t>
      </w:r>
      <w:r>
        <w:rPr>
          <w:rFonts w:cs="Arial"/>
          <w:bCs/>
          <w:sz w:val="20"/>
          <w:szCs w:val="20"/>
        </w:rPr>
        <w:t xml:space="preserve"> </w:t>
      </w:r>
      <w:r w:rsidRPr="0060172E">
        <w:rPr>
          <w:rFonts w:cs="Arial"/>
          <w:bCs/>
          <w:sz w:val="20"/>
          <w:szCs w:val="20"/>
        </w:rPr>
        <w:t>sprinklerů, automatických hasících zařízení vč, poruchy a zkoušek. Pojistitel poskytne pojistné</w:t>
      </w:r>
      <w:r>
        <w:rPr>
          <w:rFonts w:cs="Arial"/>
          <w:bCs/>
          <w:sz w:val="20"/>
          <w:szCs w:val="20"/>
        </w:rPr>
        <w:t xml:space="preserve"> </w:t>
      </w:r>
      <w:r w:rsidRPr="0060172E">
        <w:rPr>
          <w:rFonts w:cs="Arial"/>
          <w:bCs/>
          <w:sz w:val="20"/>
          <w:szCs w:val="20"/>
        </w:rPr>
        <w:t>plnění i za náklady na odstranění závady, tj, opravu, případně výměnu poškozeného nebo</w:t>
      </w:r>
      <w:r>
        <w:rPr>
          <w:rFonts w:cs="Arial"/>
          <w:bCs/>
          <w:sz w:val="20"/>
          <w:szCs w:val="20"/>
        </w:rPr>
        <w:t xml:space="preserve"> </w:t>
      </w:r>
      <w:r w:rsidRPr="0060172E">
        <w:rPr>
          <w:rFonts w:cs="Arial"/>
          <w:bCs/>
          <w:sz w:val="20"/>
          <w:szCs w:val="20"/>
        </w:rPr>
        <w:t>zničeného přívodního a odpadového potrubí</w:t>
      </w:r>
      <w:r w:rsidR="00400907">
        <w:rPr>
          <w:rFonts w:cs="Arial"/>
          <w:bCs/>
          <w:sz w:val="20"/>
          <w:szCs w:val="20"/>
        </w:rPr>
        <w:t xml:space="preserve"> do ročního limitu pojistného plnění ve výši 200 000 Kč</w:t>
      </w:r>
    </w:p>
    <w:p w14:paraId="2CB4213D" w14:textId="54B03ABC" w:rsidR="00E95F31" w:rsidRDefault="003A623B" w:rsidP="002031B5">
      <w:pPr>
        <w:pStyle w:val="Odstavecseseznamem"/>
        <w:numPr>
          <w:ilvl w:val="0"/>
          <w:numId w:val="17"/>
        </w:numPr>
        <w:spacing w:after="120" w:line="280" w:lineRule="atLeast"/>
        <w:ind w:left="227" w:firstLine="0"/>
        <w:rPr>
          <w:rFonts w:cs="Arial"/>
          <w:b/>
          <w:sz w:val="20"/>
          <w:szCs w:val="20"/>
        </w:rPr>
      </w:pPr>
      <w:r w:rsidRPr="002031B5">
        <w:rPr>
          <w:rFonts w:cs="Arial"/>
          <w:b/>
          <w:sz w:val="20"/>
          <w:szCs w:val="20"/>
        </w:rPr>
        <w:t xml:space="preserve"> </w:t>
      </w:r>
      <w:r w:rsidR="00E95F31" w:rsidRPr="002031B5">
        <w:rPr>
          <w:rFonts w:cs="Arial"/>
          <w:b/>
          <w:sz w:val="20"/>
          <w:szCs w:val="20"/>
        </w:rPr>
        <w:t>Vodovodní škody</w:t>
      </w:r>
      <w:r w:rsidR="00E95F31">
        <w:rPr>
          <w:rFonts w:cs="Arial"/>
          <w:b/>
          <w:sz w:val="20"/>
          <w:szCs w:val="20"/>
        </w:rPr>
        <w:t xml:space="preserve"> – akvária</w:t>
      </w:r>
    </w:p>
    <w:p w14:paraId="092C6DBA" w14:textId="47D3482E" w:rsidR="00E95F31" w:rsidRDefault="00E95F31" w:rsidP="00E95F31">
      <w:pPr>
        <w:pStyle w:val="Odstavecseseznamem"/>
        <w:spacing w:after="120" w:line="280" w:lineRule="atLeast"/>
        <w:ind w:left="227"/>
        <w:contextualSpacing w:val="0"/>
        <w:rPr>
          <w:rFonts w:cs="Arial"/>
          <w:sz w:val="20"/>
          <w:szCs w:val="20"/>
        </w:rPr>
      </w:pPr>
      <w:r w:rsidRPr="000B13F1">
        <w:rPr>
          <w:rFonts w:cs="Arial"/>
          <w:sz w:val="20"/>
          <w:szCs w:val="20"/>
        </w:rPr>
        <w:t xml:space="preserve">Pojištění vodovodních škod se vztahuje i na škody způsobené vodou </w:t>
      </w:r>
      <w:r w:rsidR="005040C6">
        <w:rPr>
          <w:rFonts w:cs="Arial"/>
          <w:sz w:val="20"/>
          <w:szCs w:val="20"/>
        </w:rPr>
        <w:t xml:space="preserve">uniklou </w:t>
      </w:r>
      <w:r w:rsidR="005040C6" w:rsidRPr="005040C6">
        <w:rPr>
          <w:rFonts w:cs="Arial"/>
          <w:sz w:val="20"/>
          <w:szCs w:val="20"/>
        </w:rPr>
        <w:t xml:space="preserve">z funkčních modelů, akvárií </w:t>
      </w:r>
      <w:r w:rsidRPr="00E95F31">
        <w:rPr>
          <w:rFonts w:cs="Arial"/>
          <w:sz w:val="20"/>
          <w:szCs w:val="20"/>
        </w:rPr>
        <w:t>či</w:t>
      </w:r>
      <w:r>
        <w:rPr>
          <w:rFonts w:cs="Arial"/>
          <w:sz w:val="20"/>
          <w:szCs w:val="20"/>
        </w:rPr>
        <w:t xml:space="preserve"> </w:t>
      </w:r>
      <w:r w:rsidRPr="00E95F31">
        <w:rPr>
          <w:rFonts w:cs="Arial"/>
          <w:sz w:val="20"/>
          <w:szCs w:val="20"/>
        </w:rPr>
        <w:t>obdobn</w:t>
      </w:r>
      <w:r w:rsidR="005040C6">
        <w:rPr>
          <w:rFonts w:cs="Arial"/>
          <w:sz w:val="20"/>
          <w:szCs w:val="20"/>
        </w:rPr>
        <w:t xml:space="preserve">ých </w:t>
      </w:r>
      <w:r w:rsidRPr="00E95F31">
        <w:rPr>
          <w:rFonts w:cs="Arial"/>
          <w:sz w:val="20"/>
          <w:szCs w:val="20"/>
        </w:rPr>
        <w:t>nádrž</w:t>
      </w:r>
      <w:r w:rsidR="005040C6">
        <w:rPr>
          <w:rFonts w:cs="Arial"/>
          <w:sz w:val="20"/>
          <w:szCs w:val="20"/>
        </w:rPr>
        <w:t>í</w:t>
      </w:r>
      <w:r w:rsidRPr="00E95F31">
        <w:rPr>
          <w:rFonts w:cs="Arial"/>
          <w:sz w:val="20"/>
          <w:szCs w:val="20"/>
        </w:rPr>
        <w:t xml:space="preserve"> sloužící</w:t>
      </w:r>
      <w:r w:rsidR="005040C6">
        <w:rPr>
          <w:rFonts w:cs="Arial"/>
          <w:sz w:val="20"/>
          <w:szCs w:val="20"/>
        </w:rPr>
        <w:t>ch</w:t>
      </w:r>
      <w:r w:rsidRPr="00E95F31">
        <w:rPr>
          <w:rFonts w:cs="Arial"/>
          <w:sz w:val="20"/>
          <w:szCs w:val="20"/>
        </w:rPr>
        <w:t xml:space="preserve"> k umístění živočichů nebo rostlin</w:t>
      </w:r>
      <w:r w:rsidR="005040C6">
        <w:rPr>
          <w:rFonts w:cs="Arial"/>
          <w:sz w:val="20"/>
          <w:szCs w:val="20"/>
        </w:rPr>
        <w:t>.</w:t>
      </w:r>
    </w:p>
    <w:p w14:paraId="015754E1" w14:textId="5B963676" w:rsidR="003A623B" w:rsidRPr="002031B5" w:rsidRDefault="003A623B" w:rsidP="002031B5">
      <w:pPr>
        <w:pStyle w:val="Odstavecseseznamem"/>
        <w:numPr>
          <w:ilvl w:val="0"/>
          <w:numId w:val="17"/>
        </w:numPr>
        <w:spacing w:after="120" w:line="280" w:lineRule="atLeast"/>
        <w:ind w:left="227" w:firstLine="0"/>
        <w:rPr>
          <w:rFonts w:cs="Arial"/>
          <w:b/>
          <w:sz w:val="20"/>
          <w:szCs w:val="20"/>
        </w:rPr>
      </w:pPr>
      <w:r w:rsidRPr="002031B5">
        <w:rPr>
          <w:rFonts w:cs="Arial"/>
          <w:b/>
          <w:sz w:val="20"/>
          <w:szCs w:val="20"/>
        </w:rPr>
        <w:t>Vodovodní škody – mráz, lom</w:t>
      </w:r>
    </w:p>
    <w:p w14:paraId="425D23FF" w14:textId="77777777" w:rsidR="00400907" w:rsidRDefault="003A623B" w:rsidP="00400907">
      <w:pPr>
        <w:spacing w:before="120" w:after="60" w:line="280" w:lineRule="atLeast"/>
        <w:ind w:left="227"/>
        <w:rPr>
          <w:rFonts w:cs="Arial"/>
          <w:sz w:val="20"/>
          <w:szCs w:val="20"/>
        </w:rPr>
      </w:pPr>
      <w:r w:rsidRPr="003A623B">
        <w:rPr>
          <w:rFonts w:cs="Arial"/>
          <w:sz w:val="20"/>
          <w:szCs w:val="20"/>
        </w:rPr>
        <w:t>Pojištění vodovodních škod se vztahuje i na škody způsobené mrazem nebo lomem na pojištěných potrubích a zařízeních</w:t>
      </w:r>
      <w:r>
        <w:rPr>
          <w:rFonts w:cs="Arial"/>
          <w:sz w:val="20"/>
          <w:szCs w:val="20"/>
        </w:rPr>
        <w:t xml:space="preserve"> </w:t>
      </w:r>
      <w:r w:rsidRPr="003A623B">
        <w:rPr>
          <w:rFonts w:cs="Arial"/>
          <w:sz w:val="20"/>
          <w:szCs w:val="20"/>
        </w:rPr>
        <w:t xml:space="preserve">umístěných mimo budovu, maximálně však do vzdálenosti 30 m od budovy. </w:t>
      </w:r>
    </w:p>
    <w:p w14:paraId="0E5FFA62" w14:textId="52D7F84B" w:rsidR="003A623B" w:rsidRPr="003A623B" w:rsidRDefault="003A623B" w:rsidP="00400907">
      <w:pPr>
        <w:spacing w:before="120" w:after="60" w:line="280" w:lineRule="atLeast"/>
        <w:ind w:left="227"/>
        <w:rPr>
          <w:rFonts w:cs="Arial"/>
          <w:sz w:val="20"/>
          <w:szCs w:val="20"/>
        </w:rPr>
      </w:pPr>
      <w:r w:rsidRPr="003A623B">
        <w:rPr>
          <w:rFonts w:cs="Arial"/>
          <w:sz w:val="20"/>
          <w:szCs w:val="20"/>
        </w:rPr>
        <w:t>V rámci sjednané pojistné částky nebo limitu</w:t>
      </w:r>
      <w:r>
        <w:rPr>
          <w:rFonts w:cs="Arial"/>
          <w:sz w:val="20"/>
          <w:szCs w:val="20"/>
        </w:rPr>
        <w:t xml:space="preserve"> </w:t>
      </w:r>
      <w:r w:rsidRPr="003A623B">
        <w:rPr>
          <w:rFonts w:cs="Arial"/>
          <w:sz w:val="20"/>
          <w:szCs w:val="20"/>
        </w:rPr>
        <w:t>pojistného plnění nemovitých věcí (staveb) pojistitel uhradí:</w:t>
      </w:r>
    </w:p>
    <w:p w14:paraId="0DD82C9A" w14:textId="77777777" w:rsidR="00E22EAF" w:rsidRPr="00E22EAF" w:rsidRDefault="00400907" w:rsidP="00E22EAF">
      <w:pPr>
        <w:pStyle w:val="Odstavecseseznamem"/>
        <w:numPr>
          <w:ilvl w:val="0"/>
          <w:numId w:val="26"/>
        </w:numPr>
        <w:spacing w:line="280" w:lineRule="atLeast"/>
        <w:rPr>
          <w:rFonts w:cs="Arial"/>
          <w:sz w:val="20"/>
          <w:szCs w:val="20"/>
        </w:rPr>
      </w:pPr>
      <w:r w:rsidRPr="00E22EAF">
        <w:rPr>
          <w:rFonts w:cs="Arial"/>
          <w:bCs/>
          <w:sz w:val="20"/>
          <w:szCs w:val="20"/>
        </w:rPr>
        <w:t>náklady na odstranění závady, tj, opravu, případně výměnu poškozeného nebo zničeného přívodního a odpadového potrubí do ročního limitu pojistného plnění ve výši 200 000 Kč</w:t>
      </w:r>
    </w:p>
    <w:p w14:paraId="13152F63" w14:textId="2FC0ADCC" w:rsidR="003A623B" w:rsidRPr="00E22EAF" w:rsidRDefault="003A623B" w:rsidP="00E22EAF">
      <w:pPr>
        <w:pStyle w:val="Odstavecseseznamem"/>
        <w:numPr>
          <w:ilvl w:val="0"/>
          <w:numId w:val="26"/>
        </w:numPr>
        <w:spacing w:after="120" w:line="280" w:lineRule="atLeast"/>
        <w:ind w:left="584" w:hanging="357"/>
        <w:contextualSpacing w:val="0"/>
        <w:rPr>
          <w:rFonts w:cs="Arial"/>
          <w:sz w:val="20"/>
          <w:szCs w:val="20"/>
        </w:rPr>
      </w:pPr>
      <w:r w:rsidRPr="00E22EAF">
        <w:rPr>
          <w:rFonts w:cs="Arial"/>
          <w:sz w:val="20"/>
          <w:szCs w:val="20"/>
        </w:rPr>
        <w:t>škody způsobené ztrátou vody do ročního limitu plnění 250 000,- Kč</w:t>
      </w:r>
    </w:p>
    <w:p w14:paraId="3C68CA09" w14:textId="77777777" w:rsidR="0057383E" w:rsidRDefault="0057383E" w:rsidP="002031B5">
      <w:pPr>
        <w:pStyle w:val="Odstavecseseznamem"/>
        <w:numPr>
          <w:ilvl w:val="0"/>
          <w:numId w:val="17"/>
        </w:numPr>
        <w:spacing w:after="120" w:line="280" w:lineRule="atLeast"/>
        <w:ind w:left="227" w:firstLine="0"/>
        <w:rPr>
          <w:rFonts w:cs="Arial"/>
          <w:b/>
          <w:sz w:val="20"/>
          <w:szCs w:val="20"/>
        </w:rPr>
      </w:pPr>
      <w:r>
        <w:rPr>
          <w:rFonts w:cs="Arial"/>
          <w:b/>
          <w:sz w:val="20"/>
          <w:szCs w:val="20"/>
        </w:rPr>
        <w:t>Pojištění na novou cenu</w:t>
      </w:r>
    </w:p>
    <w:p w14:paraId="1B1B93CD" w14:textId="77777777" w:rsidR="00967D6C" w:rsidRPr="00967D6C" w:rsidRDefault="00967D6C" w:rsidP="00967D6C">
      <w:pPr>
        <w:spacing w:after="120" w:line="280" w:lineRule="atLeast"/>
        <w:ind w:left="227"/>
        <w:rPr>
          <w:rFonts w:cs="Arial"/>
          <w:sz w:val="20"/>
          <w:szCs w:val="20"/>
        </w:rPr>
      </w:pPr>
      <w:r w:rsidRPr="00967D6C">
        <w:rPr>
          <w:rFonts w:cs="Arial"/>
          <w:sz w:val="20"/>
          <w:szCs w:val="20"/>
        </w:rPr>
        <w:t>Pojištění všech předmětů pojištění se sjednává na novou cenu. V případě poškození nebo zničení pojištěných věcí vyplatí</w:t>
      </w:r>
      <w:r>
        <w:rPr>
          <w:rFonts w:cs="Arial"/>
          <w:sz w:val="20"/>
          <w:szCs w:val="20"/>
        </w:rPr>
        <w:t xml:space="preserve"> </w:t>
      </w:r>
      <w:r w:rsidRPr="00967D6C">
        <w:rPr>
          <w:rFonts w:cs="Arial"/>
          <w:sz w:val="20"/>
          <w:szCs w:val="20"/>
        </w:rPr>
        <w:t>pojistitel náklad na znovupořízení věci snížený o cenu případných zbytků takto:</w:t>
      </w:r>
    </w:p>
    <w:p w14:paraId="0C01D713" w14:textId="7FEBB73B" w:rsidR="00967D6C" w:rsidRPr="00967D6C" w:rsidRDefault="00967D6C" w:rsidP="00967D6C">
      <w:pPr>
        <w:spacing w:after="120" w:line="280" w:lineRule="atLeast"/>
        <w:ind w:left="227"/>
        <w:rPr>
          <w:rFonts w:cs="Arial"/>
          <w:sz w:val="20"/>
          <w:szCs w:val="20"/>
        </w:rPr>
      </w:pPr>
      <w:r w:rsidRPr="00967D6C">
        <w:rPr>
          <w:rFonts w:cs="Arial"/>
          <w:sz w:val="20"/>
          <w:szCs w:val="20"/>
        </w:rPr>
        <w:t xml:space="preserve">Ujednává se, že v případě pojistné události na věcech nemovitých (budovy a stavby) bude pojistné plnění hrazeno v nových cenách bez opotřebení, pokud pojištěný věci nemovité řádně užívá </w:t>
      </w:r>
      <w:r w:rsidR="0060172E">
        <w:rPr>
          <w:rFonts w:cs="Arial"/>
          <w:sz w:val="20"/>
          <w:szCs w:val="20"/>
        </w:rPr>
        <w:br/>
      </w:r>
      <w:r w:rsidRPr="00967D6C">
        <w:rPr>
          <w:rFonts w:cs="Arial"/>
          <w:sz w:val="20"/>
          <w:szCs w:val="20"/>
        </w:rPr>
        <w:t>a provozuje.</w:t>
      </w:r>
    </w:p>
    <w:p w14:paraId="3DA49ED6" w14:textId="2BEA6E78" w:rsidR="0057383E" w:rsidRDefault="00967D6C" w:rsidP="00967D6C">
      <w:pPr>
        <w:spacing w:after="120" w:line="280" w:lineRule="atLeast"/>
        <w:ind w:left="227"/>
        <w:rPr>
          <w:rFonts w:cs="Arial"/>
          <w:sz w:val="20"/>
          <w:szCs w:val="20"/>
        </w:rPr>
      </w:pPr>
      <w:r w:rsidRPr="00967D6C">
        <w:rPr>
          <w:rFonts w:cs="Arial"/>
          <w:sz w:val="20"/>
          <w:szCs w:val="20"/>
        </w:rPr>
        <w:t>Dále se ujednává, že v případě opotřebení nebo jiného znehodnocení pojištěných věcí movitých vyšší než 7</w:t>
      </w:r>
      <w:r w:rsidR="0060172E">
        <w:rPr>
          <w:rFonts w:cs="Arial"/>
          <w:sz w:val="20"/>
          <w:szCs w:val="20"/>
        </w:rPr>
        <w:t>5</w:t>
      </w:r>
      <w:r w:rsidRPr="00967D6C">
        <w:rPr>
          <w:rFonts w:cs="Arial"/>
          <w:sz w:val="20"/>
          <w:szCs w:val="20"/>
        </w:rPr>
        <w:t>% nové ceny,</w:t>
      </w:r>
      <w:r>
        <w:rPr>
          <w:rFonts w:cs="Arial"/>
          <w:sz w:val="20"/>
          <w:szCs w:val="20"/>
        </w:rPr>
        <w:t xml:space="preserve"> </w:t>
      </w:r>
      <w:r w:rsidRPr="00967D6C">
        <w:rPr>
          <w:rFonts w:cs="Arial"/>
          <w:sz w:val="20"/>
          <w:szCs w:val="20"/>
        </w:rPr>
        <w:t>pojistitel poskytne pojistné plnění v časové ceně</w:t>
      </w:r>
      <w:r>
        <w:rPr>
          <w:rFonts w:cs="Arial"/>
          <w:sz w:val="20"/>
          <w:szCs w:val="20"/>
        </w:rPr>
        <w:t>.</w:t>
      </w:r>
    </w:p>
    <w:p w14:paraId="6F6E54A7" w14:textId="6687B9B1" w:rsidR="00450AC2" w:rsidRPr="002031B5" w:rsidRDefault="00450AC2" w:rsidP="00967D6C">
      <w:pPr>
        <w:pStyle w:val="Odstavecseseznamem"/>
        <w:numPr>
          <w:ilvl w:val="0"/>
          <w:numId w:val="17"/>
        </w:numPr>
        <w:spacing w:after="120" w:line="280" w:lineRule="atLeast"/>
        <w:ind w:left="227" w:firstLine="0"/>
        <w:rPr>
          <w:rFonts w:cs="Arial"/>
          <w:b/>
          <w:sz w:val="20"/>
          <w:szCs w:val="20"/>
        </w:rPr>
      </w:pPr>
      <w:r w:rsidRPr="002031B5">
        <w:rPr>
          <w:rFonts w:cs="Arial"/>
          <w:b/>
          <w:sz w:val="20"/>
          <w:szCs w:val="20"/>
        </w:rPr>
        <w:t xml:space="preserve">Cizí věci užívané </w:t>
      </w:r>
      <w:r w:rsidR="0060172E">
        <w:rPr>
          <w:rFonts w:cs="Arial"/>
          <w:b/>
          <w:sz w:val="20"/>
          <w:szCs w:val="20"/>
        </w:rPr>
        <w:t>–</w:t>
      </w:r>
      <w:r w:rsidRPr="002031B5">
        <w:rPr>
          <w:rFonts w:cs="Arial"/>
          <w:b/>
          <w:sz w:val="20"/>
          <w:szCs w:val="20"/>
        </w:rPr>
        <w:t xml:space="preserve"> plnění v nových cenách</w:t>
      </w:r>
    </w:p>
    <w:p w14:paraId="76B26D7F" w14:textId="77777777" w:rsidR="00450AC2" w:rsidRPr="003A623B" w:rsidRDefault="00450AC2" w:rsidP="00A473EA">
      <w:pPr>
        <w:spacing w:after="120" w:line="280" w:lineRule="atLeast"/>
        <w:ind w:left="227"/>
        <w:rPr>
          <w:rFonts w:cs="Arial"/>
          <w:sz w:val="20"/>
          <w:szCs w:val="20"/>
        </w:rPr>
      </w:pPr>
      <w:r w:rsidRPr="003A623B">
        <w:rPr>
          <w:rFonts w:cs="Arial"/>
          <w:sz w:val="20"/>
          <w:szCs w:val="20"/>
        </w:rPr>
        <w:t>V případě cizích věcí užívaných pojištěným se ujednává, že v případě pojistné události pojistitel poskytne plnění v nové ceně.</w:t>
      </w:r>
    </w:p>
    <w:p w14:paraId="361F9175" w14:textId="77777777" w:rsidR="00450AC2" w:rsidRDefault="00450AC2" w:rsidP="00A473EA">
      <w:pPr>
        <w:spacing w:after="120" w:line="280" w:lineRule="atLeast"/>
        <w:ind w:left="227"/>
        <w:rPr>
          <w:rFonts w:cs="Arial"/>
          <w:sz w:val="20"/>
          <w:szCs w:val="20"/>
        </w:rPr>
      </w:pPr>
      <w:r w:rsidRPr="003A623B">
        <w:rPr>
          <w:rFonts w:cs="Arial"/>
          <w:sz w:val="20"/>
          <w:szCs w:val="20"/>
        </w:rPr>
        <w:t>Pojištěné cizí věci, které pojištěný užívá na základě leasingových, nájemních či jiných smluv, jsou v případě převodu do vlastnictví pojištěného automaticky pojištěny – v rozsahu sjednané pojistné smlouvy.</w:t>
      </w:r>
      <w:r w:rsidRPr="00B90A7C">
        <w:rPr>
          <w:rFonts w:cs="Arial"/>
          <w:sz w:val="20"/>
          <w:szCs w:val="20"/>
        </w:rPr>
        <w:t xml:space="preserve"> </w:t>
      </w:r>
    </w:p>
    <w:p w14:paraId="741BF3C4" w14:textId="60A188F3" w:rsidR="001A40ED" w:rsidRDefault="00967D6C" w:rsidP="00A473EA">
      <w:pPr>
        <w:spacing w:after="120" w:line="280" w:lineRule="atLeast"/>
        <w:ind w:left="227"/>
        <w:rPr>
          <w:rFonts w:cs="Arial"/>
          <w:sz w:val="20"/>
          <w:szCs w:val="20"/>
        </w:rPr>
      </w:pPr>
      <w:r w:rsidRPr="00967D6C">
        <w:rPr>
          <w:rFonts w:cs="Arial"/>
          <w:sz w:val="20"/>
          <w:szCs w:val="20"/>
        </w:rPr>
        <w:t>Dále se ujednává, že v případě opotřebení nebo jiného znehodnocení pojištěných věcí movitých vyšší než 7</w:t>
      </w:r>
      <w:r w:rsidR="0060172E">
        <w:rPr>
          <w:rFonts w:cs="Arial"/>
          <w:sz w:val="20"/>
          <w:szCs w:val="20"/>
        </w:rPr>
        <w:t>5</w:t>
      </w:r>
      <w:r w:rsidRPr="00967D6C">
        <w:rPr>
          <w:rFonts w:cs="Arial"/>
          <w:sz w:val="20"/>
          <w:szCs w:val="20"/>
        </w:rPr>
        <w:t>% nové ceny,</w:t>
      </w:r>
      <w:r>
        <w:rPr>
          <w:rFonts w:cs="Arial"/>
          <w:sz w:val="20"/>
          <w:szCs w:val="20"/>
        </w:rPr>
        <w:t xml:space="preserve"> </w:t>
      </w:r>
      <w:r w:rsidRPr="00967D6C">
        <w:rPr>
          <w:rFonts w:cs="Arial"/>
          <w:sz w:val="20"/>
          <w:szCs w:val="20"/>
        </w:rPr>
        <w:t>pojistitel poskytne pojistné plnění v časové ceně</w:t>
      </w:r>
      <w:r>
        <w:rPr>
          <w:rFonts w:cs="Arial"/>
          <w:sz w:val="20"/>
          <w:szCs w:val="20"/>
        </w:rPr>
        <w:t>.</w:t>
      </w:r>
    </w:p>
    <w:p w14:paraId="300FABBE" w14:textId="77777777" w:rsidR="001A40ED" w:rsidRDefault="001A40ED">
      <w:pPr>
        <w:jc w:val="left"/>
        <w:rPr>
          <w:rFonts w:cs="Arial"/>
          <w:sz w:val="20"/>
          <w:szCs w:val="20"/>
        </w:rPr>
      </w:pPr>
      <w:r>
        <w:rPr>
          <w:rFonts w:cs="Arial"/>
          <w:sz w:val="20"/>
          <w:szCs w:val="20"/>
        </w:rPr>
        <w:br w:type="page"/>
      </w:r>
    </w:p>
    <w:p w14:paraId="371CA2E2" w14:textId="77777777" w:rsidR="00967D6C" w:rsidRDefault="00967D6C" w:rsidP="00A473EA">
      <w:pPr>
        <w:spacing w:after="120" w:line="280" w:lineRule="atLeast"/>
        <w:ind w:left="227"/>
        <w:rPr>
          <w:rFonts w:cs="Arial"/>
          <w:sz w:val="20"/>
          <w:szCs w:val="20"/>
        </w:rPr>
      </w:pPr>
    </w:p>
    <w:p w14:paraId="0E90BD85" w14:textId="77777777" w:rsidR="00450AC2" w:rsidRPr="002031B5" w:rsidRDefault="00450AC2" w:rsidP="002031B5">
      <w:pPr>
        <w:pStyle w:val="Odstavecseseznamem"/>
        <w:numPr>
          <w:ilvl w:val="0"/>
          <w:numId w:val="17"/>
        </w:numPr>
        <w:spacing w:after="120" w:line="280" w:lineRule="atLeast"/>
        <w:ind w:left="227" w:firstLine="0"/>
        <w:rPr>
          <w:rFonts w:cs="Arial"/>
          <w:b/>
          <w:sz w:val="20"/>
          <w:szCs w:val="20"/>
        </w:rPr>
      </w:pPr>
      <w:r w:rsidRPr="002031B5">
        <w:rPr>
          <w:rFonts w:cs="Arial"/>
          <w:b/>
          <w:sz w:val="20"/>
          <w:szCs w:val="20"/>
        </w:rPr>
        <w:t>Pojištění nemovitostí, na kterých jsou prováděny stavební úpravy</w:t>
      </w:r>
    </w:p>
    <w:p w14:paraId="61C35967" w14:textId="265A07EF" w:rsidR="00BE1DAD" w:rsidRDefault="00450AC2" w:rsidP="003D1592">
      <w:pPr>
        <w:spacing w:after="120" w:line="280" w:lineRule="atLeast"/>
        <w:ind w:left="227"/>
        <w:rPr>
          <w:rFonts w:cs="Arial"/>
          <w:sz w:val="20"/>
          <w:szCs w:val="20"/>
        </w:rPr>
      </w:pPr>
      <w:r w:rsidRPr="00B90A7C">
        <w:rPr>
          <w:rFonts w:cs="Arial"/>
          <w:sz w:val="20"/>
          <w:szCs w:val="20"/>
        </w:rPr>
        <w:t>Pojištění budov, hal a staveb (dále jen nemovitosti) se vztahuje také na škody vzniklé v důsledku pojištěných nebezpečí na nemovitostech, na kterých jsou prováděny stavební úpravy, včetně těch, k nimž je třeba stavební povolení. Pojištění se vztahuje také na nemovitosti ve výstavbě anebo před kolaudací, pokud k těmto nemovitostem přešlo nebezpečí škody na pojištěného</w:t>
      </w:r>
      <w:r w:rsidR="003D1592" w:rsidRPr="003D1592">
        <w:rPr>
          <w:rFonts w:cs="Arial"/>
          <w:sz w:val="20"/>
          <w:szCs w:val="20"/>
        </w:rPr>
        <w:t xml:space="preserve"> </w:t>
      </w:r>
      <w:r w:rsidR="003D1592">
        <w:rPr>
          <w:rFonts w:cs="Arial"/>
          <w:sz w:val="20"/>
          <w:szCs w:val="20"/>
        </w:rPr>
        <w:t xml:space="preserve">a </w:t>
      </w:r>
      <w:r w:rsidR="003D1592" w:rsidRPr="003A623B">
        <w:rPr>
          <w:rFonts w:cs="Arial"/>
          <w:sz w:val="20"/>
          <w:szCs w:val="20"/>
        </w:rPr>
        <w:t>bylo vydáno povolení k předčasnému užívání stavby</w:t>
      </w:r>
      <w:r w:rsidRPr="00B90A7C">
        <w:rPr>
          <w:rFonts w:cs="Arial"/>
          <w:sz w:val="20"/>
          <w:szCs w:val="20"/>
        </w:rPr>
        <w:t xml:space="preserve">, jakož i na věcech v takové nemovitosti umístěných, a to </w:t>
      </w:r>
      <w:r w:rsidR="00EC52C0">
        <w:rPr>
          <w:rFonts w:cs="Arial"/>
          <w:sz w:val="20"/>
          <w:szCs w:val="20"/>
        </w:rPr>
        <w:br/>
      </w:r>
      <w:r w:rsidRPr="00B90A7C">
        <w:rPr>
          <w:rFonts w:cs="Arial"/>
          <w:sz w:val="20"/>
          <w:szCs w:val="20"/>
        </w:rPr>
        <w:t>za předpokladu, že ke škodě nedošlo bezprostředně v důsledku stavebně montážní činnosti.</w:t>
      </w:r>
    </w:p>
    <w:p w14:paraId="5803B3DB" w14:textId="5DBF7794" w:rsidR="00AD717B" w:rsidRDefault="00AD717B" w:rsidP="002031B5">
      <w:pPr>
        <w:pStyle w:val="Odstavecseseznamem"/>
        <w:numPr>
          <w:ilvl w:val="0"/>
          <w:numId w:val="17"/>
        </w:numPr>
        <w:spacing w:after="120" w:line="280" w:lineRule="atLeast"/>
        <w:ind w:left="227" w:firstLine="0"/>
        <w:rPr>
          <w:rFonts w:cs="Arial"/>
          <w:b/>
          <w:sz w:val="20"/>
          <w:szCs w:val="20"/>
        </w:rPr>
      </w:pPr>
      <w:r>
        <w:rPr>
          <w:rFonts w:cs="Arial"/>
          <w:b/>
          <w:sz w:val="20"/>
          <w:szCs w:val="20"/>
        </w:rPr>
        <w:t>Nemovité objekty – využívání</w:t>
      </w:r>
    </w:p>
    <w:p w14:paraId="61E7048A" w14:textId="7D6DD58B" w:rsidR="00E22EAF" w:rsidRDefault="00AD717B" w:rsidP="00AD717B">
      <w:pPr>
        <w:spacing w:after="120" w:line="280" w:lineRule="atLeast"/>
        <w:ind w:left="227"/>
        <w:rPr>
          <w:rFonts w:cs="Arial"/>
          <w:sz w:val="20"/>
          <w:szCs w:val="20"/>
        </w:rPr>
      </w:pPr>
      <w:r w:rsidRPr="00AD717B">
        <w:rPr>
          <w:rFonts w:cs="Arial"/>
          <w:sz w:val="20"/>
          <w:szCs w:val="20"/>
        </w:rPr>
        <w:t>Ujednává se, že pojištění nemovitých objektů (budov, hal a staveb) se vztahuje také na škody vzniklé v důsledku pojistných nebezpečí na nemovitostech, které jsou využívány k jiným účelům, než ke kterým jsou zkolaudovány</w:t>
      </w:r>
    </w:p>
    <w:p w14:paraId="1E49A634" w14:textId="3008ADE3" w:rsidR="002031B5" w:rsidRPr="002031B5" w:rsidRDefault="0060172E" w:rsidP="002031B5">
      <w:pPr>
        <w:pStyle w:val="Odstavecseseznamem"/>
        <w:numPr>
          <w:ilvl w:val="0"/>
          <w:numId w:val="17"/>
        </w:numPr>
        <w:spacing w:after="120" w:line="280" w:lineRule="atLeast"/>
        <w:ind w:left="227" w:firstLine="0"/>
        <w:rPr>
          <w:rFonts w:cs="Arial"/>
          <w:b/>
          <w:sz w:val="20"/>
          <w:szCs w:val="20"/>
        </w:rPr>
      </w:pPr>
      <w:r w:rsidRPr="0060172E">
        <w:rPr>
          <w:rFonts w:cs="Arial"/>
          <w:b/>
          <w:sz w:val="20"/>
          <w:szCs w:val="20"/>
        </w:rPr>
        <w:t>Přepětí vč.</w:t>
      </w:r>
      <w:r>
        <w:rPr>
          <w:rFonts w:cs="Arial"/>
          <w:b/>
          <w:sz w:val="20"/>
          <w:szCs w:val="20"/>
        </w:rPr>
        <w:t xml:space="preserve"> </w:t>
      </w:r>
      <w:r w:rsidRPr="0060172E">
        <w:rPr>
          <w:rFonts w:cs="Arial"/>
          <w:b/>
          <w:sz w:val="20"/>
          <w:szCs w:val="20"/>
        </w:rPr>
        <w:t>přepětí v důsledku nepřímého úderu blesku</w:t>
      </w:r>
    </w:p>
    <w:p w14:paraId="0A79CDF2" w14:textId="0CB47A70" w:rsidR="00450AC2" w:rsidRPr="002031B5" w:rsidRDefault="0057383E" w:rsidP="002031B5">
      <w:pPr>
        <w:spacing w:after="120" w:line="280" w:lineRule="atLeast"/>
        <w:ind w:left="227"/>
        <w:rPr>
          <w:rFonts w:cs="Arial"/>
          <w:sz w:val="20"/>
          <w:szCs w:val="20"/>
        </w:rPr>
      </w:pPr>
      <w:r>
        <w:rPr>
          <w:rFonts w:cs="Arial"/>
          <w:sz w:val="20"/>
          <w:szCs w:val="20"/>
        </w:rPr>
        <w:t>Ujednává se, že ú</w:t>
      </w:r>
      <w:r w:rsidR="00450AC2" w:rsidRPr="002031B5">
        <w:rPr>
          <w:rFonts w:cs="Arial"/>
          <w:sz w:val="20"/>
          <w:szCs w:val="20"/>
        </w:rPr>
        <w:t>derem blesku se rozumí také škoda vzniklá úderem blesku bez viditelných destrukčních účinků na věci nebo na budově. Úderem blesku je také zkrat nebo přepětí v elektrorozvodné nebo telekomunikační síti, k němuž došlo v důsledku působení blesku na tato vedení.</w:t>
      </w:r>
    </w:p>
    <w:p w14:paraId="7DDE611A" w14:textId="77777777" w:rsidR="002031B5" w:rsidRDefault="003D1592" w:rsidP="002031B5">
      <w:pPr>
        <w:pStyle w:val="Odstavecseseznamem"/>
        <w:numPr>
          <w:ilvl w:val="0"/>
          <w:numId w:val="17"/>
        </w:numPr>
        <w:spacing w:after="120" w:line="280" w:lineRule="atLeast"/>
        <w:ind w:left="227" w:firstLine="0"/>
        <w:rPr>
          <w:rFonts w:cs="Arial"/>
          <w:b/>
          <w:sz w:val="20"/>
          <w:szCs w:val="20"/>
        </w:rPr>
      </w:pPr>
      <w:r w:rsidRPr="002031B5">
        <w:rPr>
          <w:rFonts w:cs="Arial"/>
          <w:b/>
          <w:sz w:val="20"/>
          <w:szCs w:val="20"/>
        </w:rPr>
        <w:t>Sluneční kolektory</w:t>
      </w:r>
    </w:p>
    <w:p w14:paraId="57401862" w14:textId="77777777" w:rsidR="003D1592" w:rsidRDefault="002031B5" w:rsidP="002031B5">
      <w:pPr>
        <w:spacing w:after="120" w:line="280" w:lineRule="atLeast"/>
        <w:ind w:left="227"/>
        <w:rPr>
          <w:rFonts w:cs="Arial"/>
          <w:sz w:val="20"/>
          <w:szCs w:val="20"/>
        </w:rPr>
      </w:pPr>
      <w:r w:rsidRPr="002031B5">
        <w:rPr>
          <w:rFonts w:cs="Arial"/>
          <w:sz w:val="20"/>
          <w:szCs w:val="20"/>
        </w:rPr>
        <w:t xml:space="preserve">Sluneční kolektory </w:t>
      </w:r>
      <w:r w:rsidR="003D1592" w:rsidRPr="002031B5">
        <w:rPr>
          <w:rFonts w:cs="Arial"/>
          <w:sz w:val="20"/>
          <w:szCs w:val="20"/>
        </w:rPr>
        <w:t>nainstalované na budově jsou pojištěny jako součást stavby a vztahuje se na</w:t>
      </w:r>
      <w:r w:rsidR="003D1592" w:rsidRPr="00B90A7C">
        <w:rPr>
          <w:rFonts w:cs="Arial"/>
          <w:sz w:val="20"/>
          <w:szCs w:val="20"/>
        </w:rPr>
        <w:t xml:space="preserve"> ně jak pojištění živelní, tak rizika odcizení a vandalismu.</w:t>
      </w:r>
    </w:p>
    <w:p w14:paraId="50F43DD8" w14:textId="77777777" w:rsidR="003D1592" w:rsidRDefault="003D1592" w:rsidP="00B866DE">
      <w:pPr>
        <w:pStyle w:val="Odstavecseseznamem"/>
        <w:numPr>
          <w:ilvl w:val="0"/>
          <w:numId w:val="17"/>
        </w:numPr>
        <w:spacing w:after="120" w:line="280" w:lineRule="atLeast"/>
        <w:ind w:left="227" w:firstLine="0"/>
        <w:contextualSpacing w:val="0"/>
        <w:rPr>
          <w:rFonts w:cs="Arial"/>
          <w:sz w:val="20"/>
          <w:szCs w:val="20"/>
        </w:rPr>
      </w:pPr>
      <w:r w:rsidRPr="00B90A7C">
        <w:rPr>
          <w:rFonts w:cs="Arial"/>
          <w:sz w:val="20"/>
          <w:szCs w:val="20"/>
        </w:rPr>
        <w:t xml:space="preserve"> Pojistnou událostí je i ztráta pojištěné věci v příčinné souvislosti s pojistnou událostí pojištěnou touto pojistnou smlouvou, byla-li pojištěná věc pro případ této události pojištěna. </w:t>
      </w:r>
    </w:p>
    <w:p w14:paraId="44F563EE" w14:textId="77777777" w:rsidR="00A17610" w:rsidRDefault="00A17610" w:rsidP="00B866DE">
      <w:pPr>
        <w:pStyle w:val="Odstavecseseznamem"/>
        <w:numPr>
          <w:ilvl w:val="0"/>
          <w:numId w:val="17"/>
        </w:numPr>
        <w:spacing w:before="120" w:after="120" w:line="280" w:lineRule="atLeast"/>
        <w:ind w:left="227" w:firstLine="0"/>
        <w:contextualSpacing w:val="0"/>
        <w:rPr>
          <w:rFonts w:cs="Arial"/>
          <w:b/>
          <w:sz w:val="20"/>
          <w:szCs w:val="20"/>
        </w:rPr>
      </w:pPr>
      <w:r>
        <w:rPr>
          <w:rFonts w:cs="Arial"/>
          <w:b/>
          <w:sz w:val="20"/>
          <w:szCs w:val="20"/>
        </w:rPr>
        <w:t>Ujednání – parkovací automat</w:t>
      </w:r>
    </w:p>
    <w:p w14:paraId="150780D9" w14:textId="77777777" w:rsidR="00A17610" w:rsidRPr="00A17610" w:rsidRDefault="00A17610" w:rsidP="00A17610">
      <w:pPr>
        <w:spacing w:after="120" w:line="280" w:lineRule="atLeast"/>
        <w:ind w:left="227"/>
        <w:rPr>
          <w:rFonts w:cs="Arial"/>
          <w:sz w:val="20"/>
          <w:szCs w:val="20"/>
        </w:rPr>
      </w:pPr>
      <w:r w:rsidRPr="00A17610">
        <w:rPr>
          <w:rFonts w:cs="Arial"/>
          <w:sz w:val="20"/>
          <w:szCs w:val="20"/>
        </w:rPr>
        <w:t>Odchylně od příslušných pojistných podmínek se ujednává, že parkovací automat na mince se považuje za uzavřený prostor.</w:t>
      </w:r>
    </w:p>
    <w:p w14:paraId="482CFB1C" w14:textId="77777777" w:rsidR="0057383E" w:rsidRPr="0057383E" w:rsidRDefault="0057383E" w:rsidP="0057383E">
      <w:pPr>
        <w:pStyle w:val="Odstavecseseznamem"/>
        <w:numPr>
          <w:ilvl w:val="0"/>
          <w:numId w:val="17"/>
        </w:numPr>
        <w:spacing w:after="120" w:line="280" w:lineRule="atLeast"/>
        <w:ind w:left="227" w:firstLine="0"/>
        <w:rPr>
          <w:rFonts w:cs="Arial"/>
          <w:sz w:val="20"/>
          <w:szCs w:val="20"/>
        </w:rPr>
      </w:pPr>
      <w:r>
        <w:rPr>
          <w:rFonts w:cs="Arial"/>
          <w:b/>
          <w:sz w:val="20"/>
          <w:szCs w:val="20"/>
        </w:rPr>
        <w:t>Zachraňovací náklady</w:t>
      </w:r>
    </w:p>
    <w:p w14:paraId="00AA34DF" w14:textId="6DAC328A" w:rsidR="00450AC2" w:rsidRDefault="00450AC2" w:rsidP="0057383E">
      <w:pPr>
        <w:spacing w:after="120" w:line="280" w:lineRule="atLeast"/>
        <w:ind w:left="227"/>
        <w:rPr>
          <w:rFonts w:cs="Arial"/>
          <w:sz w:val="20"/>
          <w:szCs w:val="20"/>
        </w:rPr>
      </w:pPr>
      <w:r w:rsidRPr="0057383E">
        <w:rPr>
          <w:rFonts w:cs="Arial"/>
          <w:sz w:val="20"/>
          <w:szCs w:val="20"/>
        </w:rPr>
        <w:t xml:space="preserve">Pojistitel nahradí zachraňovací náklady maximálně do výše 10% z horní hranice plnění sjednané pro pojištění, ze kterého hrozil vznik pojistné události nebo ze kterého nastala pojistná událost, </w:t>
      </w:r>
      <w:r w:rsidR="003D1592" w:rsidRPr="0057383E">
        <w:rPr>
          <w:rFonts w:cs="Arial"/>
          <w:sz w:val="20"/>
          <w:szCs w:val="20"/>
        </w:rPr>
        <w:br/>
      </w:r>
      <w:r w:rsidRPr="0057383E">
        <w:rPr>
          <w:rFonts w:cs="Arial"/>
          <w:sz w:val="20"/>
          <w:szCs w:val="20"/>
        </w:rPr>
        <w:t>s níž souvisí vynaložení zachraňovacích nákladů; toto omezení neplatí pro zachraňovací náklady, které byly vynaloženy na záchranu života nebo zdraví osob.</w:t>
      </w:r>
    </w:p>
    <w:p w14:paraId="1CBAFE5E" w14:textId="2A150F2F" w:rsidR="00967D6C" w:rsidRPr="00967D6C" w:rsidRDefault="0059611D" w:rsidP="00967D6C">
      <w:pPr>
        <w:pStyle w:val="Odstavecseseznamem"/>
        <w:numPr>
          <w:ilvl w:val="0"/>
          <w:numId w:val="17"/>
        </w:numPr>
        <w:spacing w:after="120" w:line="280" w:lineRule="atLeast"/>
        <w:ind w:left="227" w:firstLine="0"/>
        <w:rPr>
          <w:rFonts w:cs="Arial"/>
          <w:b/>
          <w:sz w:val="20"/>
          <w:szCs w:val="20"/>
        </w:rPr>
      </w:pPr>
      <w:r w:rsidRPr="00967D6C">
        <w:rPr>
          <w:rFonts w:cs="Arial"/>
          <w:b/>
          <w:sz w:val="20"/>
          <w:szCs w:val="20"/>
        </w:rPr>
        <w:t>Inflační doložka</w:t>
      </w:r>
    </w:p>
    <w:p w14:paraId="4CBD2E32" w14:textId="371508A8" w:rsidR="0059611D" w:rsidRPr="00967D6C" w:rsidRDefault="00967D6C" w:rsidP="00967D6C">
      <w:pPr>
        <w:spacing w:after="120" w:line="280" w:lineRule="atLeast"/>
        <w:ind w:left="227"/>
        <w:rPr>
          <w:rFonts w:cs="Arial"/>
          <w:sz w:val="20"/>
          <w:szCs w:val="20"/>
        </w:rPr>
      </w:pPr>
      <w:r w:rsidRPr="00967D6C">
        <w:rPr>
          <w:rFonts w:cs="Arial"/>
          <w:sz w:val="20"/>
          <w:szCs w:val="20"/>
        </w:rPr>
        <w:t>P</w:t>
      </w:r>
      <w:r w:rsidR="0059611D" w:rsidRPr="00967D6C">
        <w:rPr>
          <w:rFonts w:cs="Arial"/>
          <w:sz w:val="20"/>
          <w:szCs w:val="20"/>
        </w:rPr>
        <w:t xml:space="preserve">ojišťovna nebude namítat podpojištění, dojde-li v průběhu pojistného období k navýšení pojistných hodnot v důsledku inflace </w:t>
      </w:r>
      <w:r w:rsidR="00E22EAF">
        <w:rPr>
          <w:rFonts w:cs="Arial"/>
          <w:sz w:val="20"/>
          <w:szCs w:val="20"/>
        </w:rPr>
        <w:t>o méně</w:t>
      </w:r>
      <w:r w:rsidR="0059611D" w:rsidRPr="00967D6C">
        <w:rPr>
          <w:rFonts w:cs="Arial"/>
          <w:sz w:val="20"/>
          <w:szCs w:val="20"/>
        </w:rPr>
        <w:t xml:space="preserve"> než 1</w:t>
      </w:r>
      <w:r w:rsidR="006B3A44">
        <w:rPr>
          <w:rFonts w:cs="Arial"/>
          <w:sz w:val="20"/>
          <w:szCs w:val="20"/>
        </w:rPr>
        <w:t>5</w:t>
      </w:r>
      <w:r w:rsidR="0059611D" w:rsidRPr="00967D6C">
        <w:rPr>
          <w:rFonts w:cs="Arial"/>
          <w:sz w:val="20"/>
          <w:szCs w:val="20"/>
        </w:rPr>
        <w:t>%.</w:t>
      </w:r>
    </w:p>
    <w:p w14:paraId="10A21589" w14:textId="04F45273" w:rsidR="00967D6C" w:rsidRPr="00967D6C" w:rsidRDefault="00967D6C" w:rsidP="00967D6C">
      <w:pPr>
        <w:pStyle w:val="Odstavecseseznamem"/>
        <w:numPr>
          <w:ilvl w:val="0"/>
          <w:numId w:val="17"/>
        </w:numPr>
        <w:spacing w:after="120" w:line="280" w:lineRule="atLeast"/>
        <w:ind w:left="227" w:firstLine="0"/>
        <w:rPr>
          <w:rFonts w:cs="Arial"/>
          <w:b/>
          <w:sz w:val="20"/>
          <w:szCs w:val="20"/>
        </w:rPr>
      </w:pPr>
      <w:r>
        <w:rPr>
          <w:rFonts w:cs="Arial"/>
          <w:b/>
          <w:sz w:val="20"/>
          <w:szCs w:val="20"/>
        </w:rPr>
        <w:t>Pojistné plnění – sjednané spoluúčasti</w:t>
      </w:r>
    </w:p>
    <w:p w14:paraId="3520F100" w14:textId="169FE933" w:rsidR="00FB3E64" w:rsidRDefault="0059611D" w:rsidP="00967D6C">
      <w:pPr>
        <w:spacing w:after="120" w:line="280" w:lineRule="atLeast"/>
        <w:ind w:left="227"/>
        <w:rPr>
          <w:rFonts w:cs="Arial"/>
          <w:sz w:val="20"/>
          <w:szCs w:val="20"/>
        </w:rPr>
      </w:pPr>
      <w:r>
        <w:rPr>
          <w:rFonts w:cs="Arial"/>
          <w:sz w:val="20"/>
          <w:szCs w:val="20"/>
        </w:rPr>
        <w:t>P</w:t>
      </w:r>
      <w:r w:rsidRPr="0059611D">
        <w:rPr>
          <w:rFonts w:cs="Arial"/>
          <w:sz w:val="20"/>
          <w:szCs w:val="20"/>
        </w:rPr>
        <w:t>ojistné plnění poskytované uchazečem nemůže být omezeno jakýmikoliv jinými spoluúčastmi než těmi, které jsou výslovně uvedeny v této zadávací dokumentaci. Výše omezení pojistného plnění těmito spoluúčastmi je nejvyšší přípustná.</w:t>
      </w:r>
    </w:p>
    <w:p w14:paraId="19628900" w14:textId="56172395" w:rsidR="00215F99" w:rsidRPr="00967D6C" w:rsidRDefault="00215F99" w:rsidP="00215F99">
      <w:pPr>
        <w:pStyle w:val="Odstavecseseznamem"/>
        <w:numPr>
          <w:ilvl w:val="0"/>
          <w:numId w:val="17"/>
        </w:numPr>
        <w:spacing w:after="120" w:line="280" w:lineRule="atLeast"/>
        <w:ind w:left="227" w:firstLine="0"/>
        <w:rPr>
          <w:rFonts w:cs="Arial"/>
          <w:b/>
          <w:sz w:val="20"/>
          <w:szCs w:val="20"/>
        </w:rPr>
      </w:pPr>
      <w:r>
        <w:rPr>
          <w:rFonts w:cs="Arial"/>
          <w:b/>
          <w:sz w:val="20"/>
          <w:szCs w:val="20"/>
        </w:rPr>
        <w:t>Zpětné vystoupení vody z kanalizačního potrubí</w:t>
      </w:r>
    </w:p>
    <w:p w14:paraId="742E8057" w14:textId="4508D944" w:rsidR="00215F99" w:rsidRDefault="00215F99" w:rsidP="00215F99">
      <w:pPr>
        <w:spacing w:after="120" w:line="280" w:lineRule="atLeast"/>
        <w:ind w:left="227"/>
        <w:rPr>
          <w:rFonts w:cs="Arial"/>
          <w:sz w:val="20"/>
          <w:szCs w:val="20"/>
        </w:rPr>
      </w:pPr>
      <w:r w:rsidRPr="00215F99">
        <w:rPr>
          <w:rFonts w:cs="Arial"/>
          <w:sz w:val="20"/>
          <w:szCs w:val="20"/>
        </w:rPr>
        <w:t>Ujednává se, že pojištění „záplava, povodeň“ se vztahuje i na škody způsobené zpětným vystoupením vody z</w:t>
      </w:r>
      <w:r>
        <w:rPr>
          <w:rFonts w:cs="Arial"/>
          <w:sz w:val="20"/>
          <w:szCs w:val="20"/>
        </w:rPr>
        <w:t xml:space="preserve"> </w:t>
      </w:r>
      <w:r w:rsidRPr="00215F99">
        <w:rPr>
          <w:rFonts w:cs="Arial"/>
          <w:sz w:val="20"/>
          <w:szCs w:val="20"/>
        </w:rPr>
        <w:t>kanalizačního potrubí.</w:t>
      </w:r>
    </w:p>
    <w:p w14:paraId="1180E8F4" w14:textId="77777777" w:rsidR="00182262" w:rsidRDefault="00182262" w:rsidP="00215F99">
      <w:pPr>
        <w:spacing w:after="120" w:line="280" w:lineRule="atLeast"/>
        <w:ind w:left="227"/>
        <w:rPr>
          <w:rFonts w:cs="Arial"/>
          <w:sz w:val="20"/>
          <w:szCs w:val="20"/>
        </w:rPr>
      </w:pPr>
    </w:p>
    <w:p w14:paraId="4F563802" w14:textId="674D81B1" w:rsidR="00182262" w:rsidRDefault="00182262" w:rsidP="00215F99">
      <w:pPr>
        <w:pStyle w:val="Odstavecseseznamem"/>
        <w:numPr>
          <w:ilvl w:val="0"/>
          <w:numId w:val="17"/>
        </w:numPr>
        <w:spacing w:after="120" w:line="280" w:lineRule="atLeast"/>
        <w:ind w:left="227" w:firstLine="0"/>
        <w:rPr>
          <w:rFonts w:cs="Arial"/>
          <w:b/>
          <w:sz w:val="20"/>
          <w:szCs w:val="20"/>
        </w:rPr>
      </w:pPr>
      <w:r w:rsidRPr="00182262">
        <w:rPr>
          <w:rFonts w:cs="Arial"/>
          <w:b/>
          <w:sz w:val="20"/>
          <w:szCs w:val="20"/>
        </w:rPr>
        <w:t>Pojištění dronů a lodí</w:t>
      </w:r>
    </w:p>
    <w:p w14:paraId="6857AA77" w14:textId="71355593" w:rsidR="00182262" w:rsidRPr="00182262" w:rsidRDefault="00182262" w:rsidP="00182262">
      <w:pPr>
        <w:spacing w:after="120" w:line="280" w:lineRule="atLeast"/>
        <w:ind w:left="227"/>
        <w:rPr>
          <w:rFonts w:cs="Arial"/>
          <w:sz w:val="20"/>
          <w:szCs w:val="20"/>
        </w:rPr>
      </w:pPr>
      <w:r w:rsidRPr="00182262">
        <w:rPr>
          <w:rFonts w:cs="Arial"/>
          <w:sz w:val="20"/>
          <w:szCs w:val="20"/>
        </w:rPr>
        <w:t>Pro pojištění těchto předmětů pojištění se ujednává, že jsou pojištěny v rozsahu pojistných nebezpečí sjednaných pojistnou smlouvou. Podmínkou poskytnutí pojistného plnění pojistitelem je, že uvedená zařízení nesmí být v provozu (ani ve vzduchu, ani na vodě). Jejich pojištění se sjednává pouze na místech pojištění uvedených v pojistné smlouvě a při jejich přepravě. Předměty pojištění musí být dále řádně skladovány a zabezpečeny v souladu s podmínkami pojistné smlouvy.</w:t>
      </w:r>
    </w:p>
    <w:p w14:paraId="5D2AA542" w14:textId="19759808" w:rsidR="00F57213" w:rsidRPr="00215F99" w:rsidRDefault="00A473EA" w:rsidP="00215F99">
      <w:pPr>
        <w:pStyle w:val="Odstavecseseznamem"/>
        <w:numPr>
          <w:ilvl w:val="0"/>
          <w:numId w:val="17"/>
        </w:numPr>
        <w:spacing w:after="120" w:line="280" w:lineRule="atLeast"/>
        <w:ind w:left="227" w:firstLine="0"/>
        <w:rPr>
          <w:rFonts w:cs="Arial"/>
          <w:b/>
          <w:sz w:val="20"/>
          <w:szCs w:val="20"/>
        </w:rPr>
      </w:pPr>
      <w:r w:rsidRPr="00215F99">
        <w:rPr>
          <w:rFonts w:cs="Arial"/>
          <w:b/>
          <w:sz w:val="20"/>
          <w:szCs w:val="20"/>
        </w:rPr>
        <w:t>Smluvní ujednání k p</w:t>
      </w:r>
      <w:r w:rsidR="00F57213" w:rsidRPr="00215F99">
        <w:rPr>
          <w:rFonts w:cs="Arial"/>
          <w:b/>
          <w:sz w:val="20"/>
          <w:szCs w:val="20"/>
        </w:rPr>
        <w:t>ojištění skel:</w:t>
      </w:r>
    </w:p>
    <w:p w14:paraId="4812AB25" w14:textId="77777777" w:rsidR="00F57213" w:rsidRPr="00F57213" w:rsidRDefault="00F57213" w:rsidP="00F57213">
      <w:pPr>
        <w:spacing w:after="120" w:line="280" w:lineRule="atLeast"/>
        <w:ind w:left="567" w:hanging="283"/>
        <w:rPr>
          <w:rFonts w:cs="Arial"/>
          <w:sz w:val="20"/>
          <w:szCs w:val="20"/>
        </w:rPr>
      </w:pPr>
      <w:r>
        <w:rPr>
          <w:rFonts w:cs="Arial"/>
          <w:sz w:val="20"/>
          <w:szCs w:val="20"/>
        </w:rPr>
        <w:t xml:space="preserve">a) </w:t>
      </w:r>
      <w:r w:rsidRPr="00F57213">
        <w:rPr>
          <w:rFonts w:cs="Arial"/>
          <w:sz w:val="20"/>
          <w:szCs w:val="20"/>
        </w:rPr>
        <w:t>Pojištění se vztahuje i na nalepené neodnímatelné snímače zabezpečovacích zařízení, nalepené fólie, nápisy, malby nebo jiné výzdoby, jsou-li součástí pojištěného skla.</w:t>
      </w:r>
    </w:p>
    <w:p w14:paraId="0F3C7FF0" w14:textId="77777777" w:rsidR="00F57213" w:rsidRDefault="00F57213" w:rsidP="00F57213">
      <w:pPr>
        <w:spacing w:after="120" w:line="280" w:lineRule="atLeast"/>
        <w:ind w:left="567" w:hanging="283"/>
        <w:rPr>
          <w:rFonts w:cs="Arial"/>
          <w:sz w:val="20"/>
          <w:szCs w:val="20"/>
        </w:rPr>
      </w:pPr>
      <w:r>
        <w:rPr>
          <w:rFonts w:cs="Arial"/>
          <w:sz w:val="20"/>
          <w:szCs w:val="20"/>
        </w:rPr>
        <w:t>b) P</w:t>
      </w:r>
      <w:r w:rsidRPr="00F57213">
        <w:rPr>
          <w:rFonts w:cs="Arial"/>
          <w:sz w:val="20"/>
          <w:szCs w:val="20"/>
        </w:rPr>
        <w:t>ojištění se vztahuje i na vnější osvětlení, světelné reklamy a světelné nápisy včetně jejich elektrické instalace a nosné konstrukce</w:t>
      </w:r>
    </w:p>
    <w:p w14:paraId="1F04D755" w14:textId="4823B53F" w:rsidR="00A473EA" w:rsidRDefault="00A473EA" w:rsidP="00F94B58">
      <w:pPr>
        <w:spacing w:after="120" w:line="280" w:lineRule="atLeast"/>
        <w:ind w:left="567" w:hanging="283"/>
        <w:rPr>
          <w:rFonts w:cs="Arial"/>
          <w:sz w:val="20"/>
          <w:szCs w:val="20"/>
        </w:rPr>
      </w:pPr>
      <w:r>
        <w:rPr>
          <w:rFonts w:cs="Arial"/>
          <w:sz w:val="20"/>
          <w:szCs w:val="20"/>
        </w:rPr>
        <w:t xml:space="preserve">c) </w:t>
      </w:r>
      <w:r w:rsidRPr="00A473EA">
        <w:rPr>
          <w:rFonts w:cs="Arial"/>
          <w:sz w:val="20"/>
          <w:szCs w:val="20"/>
        </w:rPr>
        <w:t>Pojištění se vztahuje i na skleněné pulty, vitríny a skleněné stěny uvnitř budovy</w:t>
      </w:r>
    </w:p>
    <w:p w14:paraId="38EA9D05" w14:textId="199AEC86" w:rsidR="00F94B58" w:rsidRDefault="00F94B58" w:rsidP="00F94B58">
      <w:pPr>
        <w:spacing w:after="120" w:line="280" w:lineRule="atLeast"/>
        <w:ind w:left="567" w:hanging="283"/>
        <w:rPr>
          <w:rFonts w:cs="Arial"/>
          <w:sz w:val="20"/>
          <w:szCs w:val="20"/>
        </w:rPr>
      </w:pPr>
      <w:r>
        <w:rPr>
          <w:rFonts w:cs="Arial"/>
          <w:sz w:val="20"/>
          <w:szCs w:val="20"/>
        </w:rPr>
        <w:t>d) P</w:t>
      </w:r>
      <w:r w:rsidRPr="00F94B58">
        <w:rPr>
          <w:rFonts w:cs="Arial"/>
          <w:sz w:val="20"/>
          <w:szCs w:val="20"/>
        </w:rPr>
        <w:t xml:space="preserve">ojištění </w:t>
      </w:r>
      <w:r>
        <w:rPr>
          <w:rFonts w:cs="Arial"/>
          <w:sz w:val="20"/>
          <w:szCs w:val="20"/>
        </w:rPr>
        <w:t xml:space="preserve">se </w:t>
      </w:r>
      <w:r w:rsidRPr="00F94B58">
        <w:rPr>
          <w:rFonts w:cs="Arial"/>
          <w:sz w:val="20"/>
          <w:szCs w:val="20"/>
        </w:rPr>
        <w:t xml:space="preserve">vztahuje i na obyčejná skla, jejichž tloušťka je </w:t>
      </w:r>
      <w:r w:rsidR="006B3A44">
        <w:rPr>
          <w:rFonts w:cs="Arial"/>
          <w:sz w:val="20"/>
          <w:szCs w:val="20"/>
        </w:rPr>
        <w:t>min.</w:t>
      </w:r>
      <w:r w:rsidRPr="00F94B58">
        <w:rPr>
          <w:rFonts w:cs="Arial"/>
          <w:sz w:val="20"/>
          <w:szCs w:val="20"/>
        </w:rPr>
        <w:t>3 mm</w:t>
      </w:r>
    </w:p>
    <w:p w14:paraId="0070ADF1" w14:textId="5D5264C7" w:rsidR="00D90EC5" w:rsidRDefault="00AD717B" w:rsidP="00F94B58">
      <w:pPr>
        <w:spacing w:after="120" w:line="280" w:lineRule="atLeast"/>
        <w:ind w:left="567" w:hanging="283"/>
        <w:rPr>
          <w:rFonts w:cs="Arial"/>
          <w:sz w:val="20"/>
          <w:szCs w:val="20"/>
        </w:rPr>
      </w:pPr>
      <w:r>
        <w:rPr>
          <w:rFonts w:cs="Arial"/>
          <w:sz w:val="20"/>
          <w:szCs w:val="20"/>
        </w:rPr>
        <w:t>e)</w:t>
      </w:r>
      <w:r w:rsidR="00F25EF0">
        <w:rPr>
          <w:rFonts w:cs="Arial"/>
          <w:sz w:val="20"/>
          <w:szCs w:val="20"/>
        </w:rPr>
        <w:t xml:space="preserve"> </w:t>
      </w:r>
      <w:r w:rsidR="00F25EF0" w:rsidRPr="00F25EF0">
        <w:rPr>
          <w:rFonts w:cs="Arial"/>
          <w:sz w:val="20"/>
          <w:szCs w:val="20"/>
        </w:rPr>
        <w:t>Ujednává se, že pojištění skel se v rozsahu sjednaných pojistných nebezpečí vztahuje rovněž na rámy skleněných oken a rámy skleněných dveří, včetně lišt</w:t>
      </w:r>
    </w:p>
    <w:p w14:paraId="31829281" w14:textId="77777777" w:rsidR="00F25EF0" w:rsidRPr="00E05E30" w:rsidRDefault="00F25EF0" w:rsidP="00F25EF0">
      <w:pPr>
        <w:pStyle w:val="Odstavecseseznamem"/>
        <w:numPr>
          <w:ilvl w:val="0"/>
          <w:numId w:val="17"/>
        </w:numPr>
        <w:spacing w:after="120" w:line="280" w:lineRule="atLeast"/>
        <w:ind w:left="227" w:firstLine="0"/>
        <w:rPr>
          <w:rFonts w:cs="Arial"/>
          <w:b/>
          <w:sz w:val="20"/>
          <w:szCs w:val="20"/>
        </w:rPr>
      </w:pPr>
      <w:r w:rsidRPr="00E05E30">
        <w:rPr>
          <w:rFonts w:cs="Arial"/>
          <w:b/>
          <w:sz w:val="20"/>
          <w:szCs w:val="20"/>
        </w:rPr>
        <w:t>Elektronika</w:t>
      </w:r>
    </w:p>
    <w:p w14:paraId="793B1F00" w14:textId="5A5FFFFD" w:rsidR="00F25EF0" w:rsidRDefault="00F25EF0" w:rsidP="00F25EF0">
      <w:pPr>
        <w:spacing w:after="120" w:line="280" w:lineRule="atLeast"/>
        <w:ind w:left="227"/>
        <w:rPr>
          <w:rFonts w:cs="Arial"/>
          <w:sz w:val="20"/>
          <w:szCs w:val="20"/>
        </w:rPr>
      </w:pPr>
      <w:r w:rsidRPr="00A473EA">
        <w:rPr>
          <w:rFonts w:cs="Arial"/>
          <w:sz w:val="20"/>
          <w:szCs w:val="20"/>
        </w:rPr>
        <w:t>Pojištění se vztahuje i na zařízení, jejichž stáří v době vzniku škody přesáhlo 5 let</w:t>
      </w:r>
      <w:r w:rsidR="00182262">
        <w:rPr>
          <w:rFonts w:cs="Arial"/>
          <w:sz w:val="20"/>
          <w:szCs w:val="20"/>
        </w:rPr>
        <w:t>,</w:t>
      </w:r>
      <w:r w:rsidR="00182262" w:rsidRPr="00182262">
        <w:rPr>
          <w:rFonts w:cs="Arial"/>
          <w:sz w:val="20"/>
          <w:szCs w:val="20"/>
        </w:rPr>
        <w:t xml:space="preserve"> avšak u lékařské a laboratorní techniky maximálně do 10 let stáří a u ostatních elektronických zařízení maximálně </w:t>
      </w:r>
      <w:r w:rsidR="00182262">
        <w:rPr>
          <w:rFonts w:cs="Arial"/>
          <w:sz w:val="20"/>
          <w:szCs w:val="20"/>
        </w:rPr>
        <w:br/>
      </w:r>
      <w:r w:rsidR="00182262" w:rsidRPr="00182262">
        <w:rPr>
          <w:rFonts w:cs="Arial"/>
          <w:sz w:val="20"/>
          <w:szCs w:val="20"/>
        </w:rPr>
        <w:t>do 7 stáří.</w:t>
      </w:r>
    </w:p>
    <w:p w14:paraId="7014EC35" w14:textId="77777777" w:rsidR="00100FAA" w:rsidRPr="00E05E30" w:rsidRDefault="00100FAA" w:rsidP="00100FAA">
      <w:pPr>
        <w:pStyle w:val="Odstavecseseznamem"/>
        <w:numPr>
          <w:ilvl w:val="0"/>
          <w:numId w:val="17"/>
        </w:numPr>
        <w:spacing w:after="120" w:line="280" w:lineRule="atLeast"/>
        <w:ind w:left="227" w:firstLine="0"/>
        <w:rPr>
          <w:rFonts w:cs="Arial"/>
          <w:b/>
          <w:sz w:val="20"/>
          <w:szCs w:val="20"/>
        </w:rPr>
      </w:pPr>
      <w:r w:rsidRPr="00E05E30">
        <w:rPr>
          <w:rFonts w:cs="Arial"/>
          <w:b/>
          <w:sz w:val="20"/>
          <w:szCs w:val="20"/>
        </w:rPr>
        <w:t>Elektronika</w:t>
      </w:r>
      <w:r>
        <w:rPr>
          <w:rFonts w:cs="Arial"/>
          <w:b/>
          <w:sz w:val="20"/>
          <w:szCs w:val="20"/>
        </w:rPr>
        <w:t xml:space="preserve"> – mobilní telefony, tablety, fotoaparáty</w:t>
      </w:r>
    </w:p>
    <w:p w14:paraId="6DB69D1F" w14:textId="1CCA49B3" w:rsidR="00100FAA" w:rsidRDefault="00100FAA" w:rsidP="00100FAA">
      <w:pPr>
        <w:spacing w:after="120" w:line="280" w:lineRule="atLeast"/>
        <w:ind w:left="227"/>
        <w:rPr>
          <w:rFonts w:cs="Arial"/>
          <w:sz w:val="20"/>
          <w:szCs w:val="20"/>
        </w:rPr>
      </w:pPr>
      <w:r w:rsidRPr="003E35C5">
        <w:rPr>
          <w:rFonts w:cs="Arial"/>
          <w:sz w:val="20"/>
          <w:szCs w:val="20"/>
        </w:rPr>
        <w:t>Ujednává se, že se pojištění vztahuje rovněž na poškození nebo zničení mobilního telefonu, tabletu nebo fotoaparátu</w:t>
      </w:r>
      <w:r w:rsidR="00D90EC5">
        <w:rPr>
          <w:rFonts w:cs="Arial"/>
          <w:sz w:val="20"/>
          <w:szCs w:val="20"/>
        </w:rPr>
        <w:t xml:space="preserve"> do dvou let jejich stáří</w:t>
      </w:r>
      <w:r w:rsidRPr="003E35C5">
        <w:rPr>
          <w:rFonts w:cs="Arial"/>
          <w:sz w:val="20"/>
          <w:szCs w:val="20"/>
        </w:rPr>
        <w:t xml:space="preserve">, a to včetně příslušenství k nim náležícího. Pojištění těchto předmětů se sjednává s ročním limitem pojistného plnění </w:t>
      </w:r>
      <w:r w:rsidR="00D90EC5">
        <w:rPr>
          <w:rFonts w:cs="Arial"/>
          <w:sz w:val="20"/>
          <w:szCs w:val="20"/>
        </w:rPr>
        <w:t>2</w:t>
      </w:r>
      <w:r w:rsidRPr="003E35C5">
        <w:rPr>
          <w:rFonts w:cs="Arial"/>
          <w:sz w:val="20"/>
          <w:szCs w:val="20"/>
        </w:rPr>
        <w:t>00 000 Kč.</w:t>
      </w:r>
    </w:p>
    <w:p w14:paraId="56847A14" w14:textId="77777777" w:rsidR="00E05E30" w:rsidRPr="00E05E30" w:rsidRDefault="00001852" w:rsidP="00E05E30">
      <w:pPr>
        <w:pStyle w:val="Odstavecseseznamem"/>
        <w:numPr>
          <w:ilvl w:val="0"/>
          <w:numId w:val="17"/>
        </w:numPr>
        <w:spacing w:after="120" w:line="280" w:lineRule="atLeast"/>
        <w:ind w:left="227" w:firstLine="0"/>
        <w:rPr>
          <w:rFonts w:cs="Arial"/>
          <w:b/>
          <w:sz w:val="20"/>
          <w:szCs w:val="20"/>
        </w:rPr>
      </w:pPr>
      <w:r w:rsidRPr="00E05E30">
        <w:rPr>
          <w:rFonts w:cs="Arial"/>
          <w:b/>
          <w:sz w:val="20"/>
          <w:szCs w:val="20"/>
        </w:rPr>
        <w:t>Stroje</w:t>
      </w:r>
    </w:p>
    <w:p w14:paraId="334C2317" w14:textId="40CA18A4" w:rsidR="00A473EA" w:rsidRDefault="00E05E30" w:rsidP="00E05E30">
      <w:pPr>
        <w:spacing w:after="120" w:line="280" w:lineRule="atLeast"/>
        <w:ind w:left="227"/>
        <w:rPr>
          <w:rFonts w:cs="Arial"/>
          <w:sz w:val="20"/>
          <w:szCs w:val="20"/>
        </w:rPr>
      </w:pPr>
      <w:r w:rsidRPr="00A473EA">
        <w:rPr>
          <w:rFonts w:cs="Arial"/>
          <w:sz w:val="20"/>
          <w:szCs w:val="20"/>
        </w:rPr>
        <w:t>P</w:t>
      </w:r>
      <w:r w:rsidR="00A473EA" w:rsidRPr="00A473EA">
        <w:rPr>
          <w:rFonts w:cs="Arial"/>
          <w:sz w:val="20"/>
          <w:szCs w:val="20"/>
        </w:rPr>
        <w:t xml:space="preserve">ojištění se vztahuje i na zařízení, jejichž stáří v době vzniku škody </w:t>
      </w:r>
      <w:r w:rsidR="008210FA">
        <w:rPr>
          <w:rFonts w:cs="Arial"/>
          <w:sz w:val="20"/>
          <w:szCs w:val="20"/>
        </w:rPr>
        <w:t>ne</w:t>
      </w:r>
      <w:r w:rsidR="00A473EA" w:rsidRPr="00A473EA">
        <w:rPr>
          <w:rFonts w:cs="Arial"/>
          <w:sz w:val="20"/>
          <w:szCs w:val="20"/>
        </w:rPr>
        <w:t xml:space="preserve">přesáhlo </w:t>
      </w:r>
      <w:r w:rsidR="00182262">
        <w:rPr>
          <w:rFonts w:cs="Arial"/>
          <w:sz w:val="20"/>
          <w:szCs w:val="20"/>
        </w:rPr>
        <w:t>15</w:t>
      </w:r>
      <w:r w:rsidR="00A473EA" w:rsidRPr="00A473EA">
        <w:rPr>
          <w:rFonts w:cs="Arial"/>
          <w:sz w:val="20"/>
          <w:szCs w:val="20"/>
        </w:rPr>
        <w:t xml:space="preserve"> let</w:t>
      </w:r>
      <w:r w:rsidR="00182262">
        <w:rPr>
          <w:rFonts w:cs="Arial"/>
          <w:sz w:val="20"/>
          <w:szCs w:val="20"/>
        </w:rPr>
        <w:t xml:space="preserve"> stáří.</w:t>
      </w:r>
    </w:p>
    <w:p w14:paraId="32A0D43E" w14:textId="1343E6E3" w:rsidR="00F25EF0" w:rsidRPr="00E05E30" w:rsidRDefault="00F25EF0" w:rsidP="00F25EF0">
      <w:pPr>
        <w:pStyle w:val="Odstavecseseznamem"/>
        <w:numPr>
          <w:ilvl w:val="0"/>
          <w:numId w:val="17"/>
        </w:numPr>
        <w:spacing w:after="120" w:line="280" w:lineRule="atLeast"/>
        <w:ind w:left="227" w:firstLine="0"/>
        <w:rPr>
          <w:rFonts w:cs="Arial"/>
          <w:b/>
          <w:sz w:val="20"/>
          <w:szCs w:val="20"/>
        </w:rPr>
      </w:pPr>
      <w:r w:rsidRPr="00E05E30">
        <w:rPr>
          <w:rFonts w:cs="Arial"/>
          <w:b/>
          <w:sz w:val="20"/>
          <w:szCs w:val="20"/>
        </w:rPr>
        <w:t>Stroje</w:t>
      </w:r>
      <w:r>
        <w:rPr>
          <w:rFonts w:cs="Arial"/>
          <w:b/>
          <w:sz w:val="20"/>
          <w:szCs w:val="20"/>
        </w:rPr>
        <w:t xml:space="preserve"> – elektronické prvky</w:t>
      </w:r>
    </w:p>
    <w:p w14:paraId="5EFB2570" w14:textId="15C76E9E" w:rsidR="00F25EF0" w:rsidRDefault="00F25EF0" w:rsidP="00F25EF0">
      <w:pPr>
        <w:spacing w:after="120" w:line="280" w:lineRule="atLeast"/>
        <w:ind w:left="227"/>
        <w:rPr>
          <w:rFonts w:cs="Arial"/>
          <w:sz w:val="20"/>
          <w:szCs w:val="20"/>
        </w:rPr>
      </w:pPr>
      <w:r w:rsidRPr="00F25EF0">
        <w:rPr>
          <w:rFonts w:cs="Arial"/>
          <w:sz w:val="20"/>
          <w:szCs w:val="20"/>
        </w:rPr>
        <w:t>Pojištění se vztahuje i na poškození či zničení elektronických prvků a součástek strojních zařízení, nosičů dat a záznamů na nich. V případě poškození nebo zničení záznamů na nosičích dat poskytne pojistitel úhradu účelně vynaložených nákladu na jejich obnovení.</w:t>
      </w:r>
    </w:p>
    <w:p w14:paraId="56420CD4" w14:textId="42214BF8" w:rsidR="00F25EF0" w:rsidRPr="00E05E30" w:rsidRDefault="00F25EF0" w:rsidP="00F25EF0">
      <w:pPr>
        <w:pStyle w:val="Odstavecseseznamem"/>
        <w:numPr>
          <w:ilvl w:val="0"/>
          <w:numId w:val="17"/>
        </w:numPr>
        <w:spacing w:after="120" w:line="280" w:lineRule="atLeast"/>
        <w:ind w:left="227" w:firstLine="0"/>
        <w:rPr>
          <w:rFonts w:cs="Arial"/>
          <w:b/>
          <w:sz w:val="20"/>
          <w:szCs w:val="20"/>
        </w:rPr>
      </w:pPr>
      <w:r w:rsidRPr="00E05E30">
        <w:rPr>
          <w:rFonts w:cs="Arial"/>
          <w:b/>
          <w:sz w:val="20"/>
          <w:szCs w:val="20"/>
        </w:rPr>
        <w:t>Stroje</w:t>
      </w:r>
      <w:r>
        <w:rPr>
          <w:rFonts w:cs="Arial"/>
          <w:b/>
          <w:sz w:val="20"/>
          <w:szCs w:val="20"/>
        </w:rPr>
        <w:t xml:space="preserve"> – provozní kapaliny</w:t>
      </w:r>
    </w:p>
    <w:p w14:paraId="3EF30C3D" w14:textId="35C7ADE0" w:rsidR="00F25EF0" w:rsidRDefault="00F25EF0" w:rsidP="00F25EF0">
      <w:pPr>
        <w:spacing w:after="120" w:line="280" w:lineRule="atLeast"/>
        <w:ind w:left="227"/>
        <w:rPr>
          <w:rFonts w:cs="Arial"/>
          <w:sz w:val="20"/>
          <w:szCs w:val="20"/>
        </w:rPr>
      </w:pPr>
      <w:r w:rsidRPr="00F25EF0">
        <w:rPr>
          <w:rFonts w:cs="Arial"/>
          <w:sz w:val="20"/>
          <w:szCs w:val="20"/>
        </w:rPr>
        <w:t xml:space="preserve">Pojištění se vztahuje i na poškození, zničení či znehodnocení provozních kapalin a náplní, jestliže </w:t>
      </w:r>
      <w:r w:rsidR="008210FA">
        <w:rPr>
          <w:rFonts w:cs="Arial"/>
          <w:sz w:val="20"/>
          <w:szCs w:val="20"/>
        </w:rPr>
        <w:br/>
      </w:r>
      <w:r w:rsidRPr="00F25EF0">
        <w:rPr>
          <w:rFonts w:cs="Arial"/>
          <w:sz w:val="20"/>
          <w:szCs w:val="20"/>
        </w:rPr>
        <w:t>k nim došlo v souvislosti s pojistnou událostí na pojištěném strojním zařízení.</w:t>
      </w:r>
    </w:p>
    <w:p w14:paraId="35EB2970" w14:textId="7B5BF2B5" w:rsidR="00F25EF0" w:rsidRPr="00E05E30" w:rsidRDefault="00F25EF0" w:rsidP="00F25EF0">
      <w:pPr>
        <w:pStyle w:val="Odstavecseseznamem"/>
        <w:numPr>
          <w:ilvl w:val="0"/>
          <w:numId w:val="17"/>
        </w:numPr>
        <w:spacing w:after="120" w:line="280" w:lineRule="atLeast"/>
        <w:ind w:left="227" w:firstLine="0"/>
        <w:rPr>
          <w:rFonts w:cs="Arial"/>
          <w:b/>
          <w:sz w:val="20"/>
          <w:szCs w:val="20"/>
        </w:rPr>
      </w:pPr>
      <w:r w:rsidRPr="00E05E30">
        <w:rPr>
          <w:rFonts w:cs="Arial"/>
          <w:b/>
          <w:sz w:val="20"/>
          <w:szCs w:val="20"/>
        </w:rPr>
        <w:t>Stroje</w:t>
      </w:r>
      <w:r>
        <w:rPr>
          <w:rFonts w:cs="Arial"/>
          <w:b/>
          <w:sz w:val="20"/>
          <w:szCs w:val="20"/>
        </w:rPr>
        <w:t xml:space="preserve"> – přerušení dodávek médií</w:t>
      </w:r>
    </w:p>
    <w:p w14:paraId="19A17147" w14:textId="226E6825" w:rsidR="00DA61E4" w:rsidRDefault="00F25EF0" w:rsidP="00F25EF0">
      <w:pPr>
        <w:spacing w:after="120" w:line="280" w:lineRule="atLeast"/>
        <w:ind w:left="227"/>
        <w:rPr>
          <w:rFonts w:cs="Arial"/>
          <w:sz w:val="20"/>
          <w:szCs w:val="20"/>
        </w:rPr>
      </w:pPr>
      <w:r w:rsidRPr="00F25EF0">
        <w:rPr>
          <w:rFonts w:cs="Arial"/>
          <w:sz w:val="20"/>
          <w:szCs w:val="20"/>
        </w:rPr>
        <w:t>Pojištění se vztahuje také na hmotné škody způsobené na pojištěném stroji výpadkem nebo přerušením dodávky plynu, vody, elektrické energie nebo jiného média (zejména způsobené přerušením nebo zastavením provozu stroje, ať již částečného nebo úplného).</w:t>
      </w:r>
    </w:p>
    <w:p w14:paraId="009E22A5" w14:textId="77777777" w:rsidR="00DA61E4" w:rsidRDefault="00DA61E4">
      <w:pPr>
        <w:jc w:val="left"/>
        <w:rPr>
          <w:rFonts w:cs="Arial"/>
          <w:sz w:val="20"/>
          <w:szCs w:val="20"/>
        </w:rPr>
      </w:pPr>
      <w:r>
        <w:rPr>
          <w:rFonts w:cs="Arial"/>
          <w:sz w:val="20"/>
          <w:szCs w:val="20"/>
        </w:rPr>
        <w:br w:type="page"/>
      </w:r>
    </w:p>
    <w:p w14:paraId="1C5C77D8" w14:textId="77777777" w:rsidR="00F25EF0" w:rsidRDefault="00F25EF0" w:rsidP="00F25EF0">
      <w:pPr>
        <w:spacing w:after="120" w:line="280" w:lineRule="atLeast"/>
        <w:ind w:left="227"/>
        <w:rPr>
          <w:rFonts w:cs="Arial"/>
          <w:sz w:val="20"/>
          <w:szCs w:val="20"/>
        </w:rPr>
      </w:pPr>
    </w:p>
    <w:p w14:paraId="0AEAEA52" w14:textId="77777777" w:rsidR="008142CA" w:rsidRPr="008142CA" w:rsidRDefault="008142CA" w:rsidP="00B866DE">
      <w:pPr>
        <w:pStyle w:val="Odstavecseseznamem"/>
        <w:numPr>
          <w:ilvl w:val="0"/>
          <w:numId w:val="17"/>
        </w:numPr>
        <w:spacing w:before="120" w:after="120" w:line="280" w:lineRule="atLeast"/>
        <w:ind w:left="227" w:firstLine="0"/>
        <w:contextualSpacing w:val="0"/>
        <w:rPr>
          <w:rFonts w:cs="Arial"/>
          <w:b/>
          <w:sz w:val="20"/>
          <w:szCs w:val="20"/>
        </w:rPr>
      </w:pPr>
      <w:r w:rsidRPr="008142CA">
        <w:rPr>
          <w:rFonts w:cs="Arial"/>
          <w:b/>
          <w:sz w:val="20"/>
          <w:szCs w:val="20"/>
        </w:rPr>
        <w:t>Jízdní kola</w:t>
      </w:r>
    </w:p>
    <w:p w14:paraId="712C11C5" w14:textId="77777777" w:rsidR="008142CA" w:rsidRDefault="008142CA" w:rsidP="00B866DE">
      <w:pPr>
        <w:pStyle w:val="Odstavecseseznamem"/>
        <w:spacing w:after="120" w:line="280" w:lineRule="atLeast"/>
        <w:ind w:left="227"/>
        <w:contextualSpacing w:val="0"/>
        <w:rPr>
          <w:rFonts w:cs="Arial"/>
          <w:sz w:val="20"/>
          <w:szCs w:val="20"/>
        </w:rPr>
      </w:pPr>
      <w:r w:rsidRPr="00761D1D">
        <w:rPr>
          <w:rFonts w:cs="Arial"/>
          <w:sz w:val="20"/>
          <w:szCs w:val="20"/>
        </w:rPr>
        <w:t>Místem pojištění je</w:t>
      </w:r>
      <w:r>
        <w:rPr>
          <w:rFonts w:cs="Arial"/>
          <w:sz w:val="20"/>
          <w:szCs w:val="20"/>
        </w:rPr>
        <w:t xml:space="preserve"> území České republiky. Jízdní kola</w:t>
      </w:r>
      <w:r w:rsidRPr="00761D1D">
        <w:rPr>
          <w:rFonts w:cs="Arial"/>
          <w:sz w:val="20"/>
          <w:szCs w:val="20"/>
        </w:rPr>
        <w:t xml:space="preserve"> </w:t>
      </w:r>
      <w:r>
        <w:rPr>
          <w:rFonts w:cs="Arial"/>
          <w:sz w:val="20"/>
          <w:szCs w:val="20"/>
        </w:rPr>
        <w:t>jsou uložena na místě</w:t>
      </w:r>
      <w:r w:rsidRPr="00761D1D">
        <w:rPr>
          <w:rFonts w:cs="Arial"/>
          <w:sz w:val="20"/>
          <w:szCs w:val="20"/>
        </w:rPr>
        <w:t xml:space="preserve"> určené</w:t>
      </w:r>
      <w:r>
        <w:rPr>
          <w:rFonts w:cs="Arial"/>
          <w:sz w:val="20"/>
          <w:szCs w:val="20"/>
        </w:rPr>
        <w:t>m</w:t>
      </w:r>
      <w:r w:rsidRPr="00761D1D">
        <w:rPr>
          <w:rFonts w:cs="Arial"/>
          <w:sz w:val="20"/>
          <w:szCs w:val="20"/>
        </w:rPr>
        <w:t xml:space="preserve"> nebo obvyklé</w:t>
      </w:r>
      <w:r>
        <w:rPr>
          <w:rFonts w:cs="Arial"/>
          <w:sz w:val="20"/>
          <w:szCs w:val="20"/>
        </w:rPr>
        <w:t>m</w:t>
      </w:r>
      <w:r w:rsidRPr="00761D1D">
        <w:rPr>
          <w:rFonts w:cs="Arial"/>
          <w:sz w:val="20"/>
          <w:szCs w:val="20"/>
        </w:rPr>
        <w:t xml:space="preserve"> k odkládání pojištění věci. Budou-li pojištěné věci uloženy i mimo uzavřený prostor mimo oplocené prostranství v době pojistné události, poskytne pojistitel plnění, budou-li prokazatelně uzamčeny lankovým nebo řetízkovým zámkem na zamykání jízdních kol k příslušenství budovy nebo ke stavebním součástem budovy, ke stojanům či jinak odolným konstrukcím takovým způsobem, aby ho nebylo možné odcizit, aniž pachatel překonal zámek nebo závažným způsobem rozrušil pevný konstrukční díl samotného předmětu.</w:t>
      </w:r>
    </w:p>
    <w:p w14:paraId="42B2A56F" w14:textId="77777777" w:rsidR="0087301D" w:rsidRDefault="0087301D" w:rsidP="00B866DE">
      <w:pPr>
        <w:pStyle w:val="Odstavecseseznamem"/>
        <w:numPr>
          <w:ilvl w:val="0"/>
          <w:numId w:val="17"/>
        </w:numPr>
        <w:spacing w:before="120" w:after="120" w:line="280" w:lineRule="atLeast"/>
        <w:ind w:left="227" w:firstLine="0"/>
        <w:contextualSpacing w:val="0"/>
        <w:rPr>
          <w:rFonts w:cs="Arial"/>
          <w:b/>
          <w:sz w:val="20"/>
          <w:szCs w:val="20"/>
        </w:rPr>
      </w:pPr>
      <w:r>
        <w:rPr>
          <w:rFonts w:cs="Arial"/>
          <w:b/>
          <w:sz w:val="20"/>
          <w:szCs w:val="20"/>
        </w:rPr>
        <w:t>Přijetí padělaných bankovek, státovek a oběžných mincí (dále jen peníze)</w:t>
      </w:r>
    </w:p>
    <w:p w14:paraId="5A815855" w14:textId="251B476C" w:rsidR="0087301D" w:rsidRPr="0087301D" w:rsidRDefault="0087301D" w:rsidP="0087301D">
      <w:pPr>
        <w:pStyle w:val="Odstavecseseznamem"/>
        <w:spacing w:after="120" w:line="280" w:lineRule="atLeast"/>
        <w:ind w:left="227"/>
        <w:contextualSpacing w:val="0"/>
        <w:rPr>
          <w:rFonts w:cs="Arial"/>
          <w:sz w:val="20"/>
          <w:szCs w:val="20"/>
        </w:rPr>
      </w:pPr>
      <w:r w:rsidRPr="0087301D">
        <w:rPr>
          <w:rFonts w:cs="Arial"/>
          <w:sz w:val="20"/>
          <w:szCs w:val="20"/>
        </w:rPr>
        <w:t xml:space="preserve">Odchylně od příslušných pojistných podmínek se ujednává, že uchazeč poskytne pojistné plnění v případě, kdy pojištěnému vznikne finanční újma tím, že v dobré víře převezme padělané peníze. Pojištění se vztahuje pouze na padělky 1., </w:t>
      </w:r>
      <w:smartTag w:uri="urn:schemas-microsoft-com:office:smarttags" w:element="metricconverter">
        <w:smartTagPr>
          <w:attr w:name="ProductID" w:val="2. a"/>
        </w:smartTagPr>
        <w:r w:rsidRPr="0087301D">
          <w:rPr>
            <w:rFonts w:cs="Arial"/>
            <w:sz w:val="20"/>
            <w:szCs w:val="20"/>
          </w:rPr>
          <w:t>2. a</w:t>
        </w:r>
      </w:smartTag>
      <w:r w:rsidRPr="0087301D">
        <w:rPr>
          <w:rFonts w:cs="Arial"/>
          <w:sz w:val="20"/>
          <w:szCs w:val="20"/>
        </w:rPr>
        <w:t xml:space="preserve"> 3. stupně nebezpečnosti dle identifikace ČNB. </w:t>
      </w:r>
      <w:r w:rsidR="008210FA">
        <w:rPr>
          <w:rFonts w:cs="Arial"/>
          <w:sz w:val="20"/>
          <w:szCs w:val="20"/>
        </w:rPr>
        <w:br/>
      </w:r>
      <w:r w:rsidRPr="0087301D">
        <w:rPr>
          <w:rFonts w:cs="Arial"/>
          <w:sz w:val="20"/>
          <w:szCs w:val="20"/>
        </w:rPr>
        <w:t xml:space="preserve">Při přijetí padělků </w:t>
      </w:r>
      <w:smartTag w:uri="urn:schemas-microsoft-com:office:smarttags" w:element="metricconverter">
        <w:smartTagPr>
          <w:attr w:name="ProductID" w:val="4. a"/>
        </w:smartTagPr>
        <w:r w:rsidRPr="0087301D">
          <w:rPr>
            <w:rFonts w:cs="Arial"/>
            <w:sz w:val="20"/>
            <w:szCs w:val="20"/>
          </w:rPr>
          <w:t>4. a</w:t>
        </w:r>
      </w:smartTag>
      <w:r w:rsidRPr="0087301D">
        <w:rPr>
          <w:rFonts w:cs="Arial"/>
          <w:sz w:val="20"/>
          <w:szCs w:val="20"/>
        </w:rPr>
        <w:t xml:space="preserve"> 5. stupně nebezpečnosti právo na plnění nevzniká. </w:t>
      </w:r>
    </w:p>
    <w:p w14:paraId="2F2699E2" w14:textId="77777777" w:rsidR="0087301D" w:rsidRPr="0087301D" w:rsidRDefault="0087301D" w:rsidP="0087301D">
      <w:pPr>
        <w:pStyle w:val="Odstavecseseznamem"/>
        <w:spacing w:before="120" w:after="120" w:line="280" w:lineRule="atLeast"/>
        <w:ind w:left="227"/>
        <w:contextualSpacing w:val="0"/>
        <w:rPr>
          <w:rFonts w:cs="Arial"/>
          <w:sz w:val="20"/>
          <w:szCs w:val="20"/>
        </w:rPr>
      </w:pPr>
      <w:r w:rsidRPr="0087301D">
        <w:rPr>
          <w:rFonts w:cs="Arial"/>
          <w:sz w:val="20"/>
          <w:szCs w:val="20"/>
        </w:rPr>
        <w:t>Pro toto pojištění se ujednává limit plnění: 50 000 Kč</w:t>
      </w:r>
    </w:p>
    <w:p w14:paraId="76EA473E" w14:textId="77777777" w:rsidR="0087301D" w:rsidRPr="0087301D" w:rsidRDefault="0087301D" w:rsidP="00182262">
      <w:pPr>
        <w:pStyle w:val="Odstavecseseznamem"/>
        <w:spacing w:after="120" w:line="280" w:lineRule="atLeast"/>
        <w:ind w:left="227"/>
        <w:contextualSpacing w:val="0"/>
        <w:rPr>
          <w:rFonts w:cs="Arial"/>
          <w:sz w:val="20"/>
          <w:szCs w:val="20"/>
        </w:rPr>
      </w:pPr>
      <w:r w:rsidRPr="0087301D">
        <w:rPr>
          <w:rFonts w:cs="Arial"/>
          <w:sz w:val="20"/>
          <w:szCs w:val="20"/>
        </w:rPr>
        <w:t>Ujednává se, že pojištění se vztahuje pouze na měny uvedené v oficiálním kurzovním lístku.</w:t>
      </w:r>
    </w:p>
    <w:p w14:paraId="0E80738F" w14:textId="3C43D9BC" w:rsidR="00450AC2" w:rsidRPr="006B3A44" w:rsidRDefault="00E05E30" w:rsidP="006B3A44">
      <w:pPr>
        <w:pStyle w:val="Odstavecseseznamem"/>
        <w:numPr>
          <w:ilvl w:val="0"/>
          <w:numId w:val="17"/>
        </w:numPr>
        <w:spacing w:before="120" w:after="120" w:line="280" w:lineRule="atLeast"/>
        <w:ind w:left="227" w:firstLine="0"/>
        <w:contextualSpacing w:val="0"/>
        <w:rPr>
          <w:rFonts w:cs="Arial"/>
          <w:b/>
          <w:sz w:val="20"/>
          <w:szCs w:val="20"/>
        </w:rPr>
      </w:pPr>
      <w:r w:rsidRPr="006B3A44">
        <w:rPr>
          <w:rFonts w:cs="Arial"/>
          <w:b/>
          <w:sz w:val="20"/>
          <w:szCs w:val="20"/>
        </w:rPr>
        <w:t>Odchylná ujednání o způsobu zabezpečení pro případ odcizení</w:t>
      </w:r>
    </w:p>
    <w:p w14:paraId="70DDF4A3" w14:textId="019DA9EC" w:rsidR="00E05E30" w:rsidRPr="00107B6A" w:rsidRDefault="00E05E30" w:rsidP="00E05E30">
      <w:pPr>
        <w:spacing w:after="120" w:line="280" w:lineRule="atLeast"/>
        <w:ind w:left="227"/>
        <w:rPr>
          <w:rFonts w:cs="Arial"/>
          <w:b/>
          <w:sz w:val="20"/>
          <w:szCs w:val="20"/>
        </w:rPr>
      </w:pPr>
      <w:r w:rsidRPr="00352F89">
        <w:rPr>
          <w:rFonts w:cs="Arial"/>
          <w:b/>
          <w:sz w:val="20"/>
          <w:szCs w:val="20"/>
          <w:highlight w:val="yellow"/>
        </w:rPr>
        <w:t>I. Odchyln</w:t>
      </w:r>
      <w:r w:rsidR="00C21D18">
        <w:rPr>
          <w:rFonts w:cs="Arial"/>
          <w:b/>
          <w:sz w:val="20"/>
          <w:szCs w:val="20"/>
          <w:highlight w:val="yellow"/>
        </w:rPr>
        <w:t>á</w:t>
      </w:r>
      <w:r w:rsidRPr="00352F89">
        <w:rPr>
          <w:rFonts w:cs="Arial"/>
          <w:b/>
          <w:sz w:val="20"/>
          <w:szCs w:val="20"/>
          <w:highlight w:val="yellow"/>
        </w:rPr>
        <w:t xml:space="preserve"> ujednání o zabezpečení proti odcizení</w:t>
      </w:r>
    </w:p>
    <w:p w14:paraId="0DFEFA31" w14:textId="3D2326E7" w:rsidR="00E05E30" w:rsidRPr="00107B6A" w:rsidRDefault="00E05E30" w:rsidP="00E05E30">
      <w:pPr>
        <w:spacing w:after="120" w:line="280" w:lineRule="atLeast"/>
        <w:ind w:left="227"/>
        <w:rPr>
          <w:rFonts w:cs="Arial"/>
          <w:b/>
          <w:sz w:val="20"/>
          <w:szCs w:val="20"/>
          <w:u w:val="single"/>
        </w:rPr>
      </w:pPr>
      <w:r w:rsidRPr="00107B6A">
        <w:rPr>
          <w:rFonts w:cs="Arial"/>
          <w:b/>
          <w:sz w:val="20"/>
          <w:szCs w:val="20"/>
          <w:u w:val="single"/>
        </w:rPr>
        <w:t xml:space="preserve">Pojištění stavebních součásti pořízených na vlastní </w:t>
      </w:r>
      <w:r w:rsidR="00283382" w:rsidRPr="00107B6A">
        <w:rPr>
          <w:rFonts w:cs="Arial"/>
          <w:b/>
          <w:sz w:val="20"/>
          <w:szCs w:val="20"/>
          <w:u w:val="single"/>
        </w:rPr>
        <w:t>náklady</w:t>
      </w:r>
      <w:r w:rsidRPr="00107B6A">
        <w:rPr>
          <w:rFonts w:cs="Arial"/>
          <w:b/>
          <w:sz w:val="20"/>
          <w:szCs w:val="20"/>
          <w:u w:val="single"/>
        </w:rPr>
        <w:t xml:space="preserve"> (ve vlastních i cizích objektech},</w:t>
      </w:r>
      <w:r w:rsidR="00107B6A" w:rsidRPr="00107B6A">
        <w:rPr>
          <w:rFonts w:cs="Arial"/>
          <w:b/>
          <w:sz w:val="20"/>
          <w:szCs w:val="20"/>
          <w:u w:val="single"/>
        </w:rPr>
        <w:t xml:space="preserve"> </w:t>
      </w:r>
      <w:r w:rsidRPr="00107B6A">
        <w:rPr>
          <w:rFonts w:cs="Arial"/>
          <w:b/>
          <w:sz w:val="20"/>
          <w:szCs w:val="20"/>
          <w:u w:val="single"/>
        </w:rPr>
        <w:t xml:space="preserve">příslušenství uvnitř i vně budov, hal a staveb, uměleckých děl (která </w:t>
      </w:r>
      <w:r w:rsidR="00283382" w:rsidRPr="00107B6A">
        <w:rPr>
          <w:rFonts w:cs="Arial"/>
          <w:b/>
          <w:sz w:val="20"/>
          <w:szCs w:val="20"/>
          <w:u w:val="single"/>
        </w:rPr>
        <w:t>jsou</w:t>
      </w:r>
      <w:r w:rsidRPr="00107B6A">
        <w:rPr>
          <w:rFonts w:cs="Arial"/>
          <w:b/>
          <w:sz w:val="20"/>
          <w:szCs w:val="20"/>
          <w:u w:val="single"/>
        </w:rPr>
        <w:t xml:space="preserve"> součástmi budov), vč. štítů,</w:t>
      </w:r>
      <w:r w:rsidR="00107B6A" w:rsidRPr="00107B6A">
        <w:rPr>
          <w:rFonts w:cs="Arial"/>
          <w:b/>
          <w:sz w:val="20"/>
          <w:szCs w:val="20"/>
          <w:u w:val="single"/>
        </w:rPr>
        <w:t xml:space="preserve"> </w:t>
      </w:r>
      <w:r w:rsidRPr="00107B6A">
        <w:rPr>
          <w:rFonts w:cs="Arial"/>
          <w:b/>
          <w:sz w:val="20"/>
          <w:szCs w:val="20"/>
          <w:u w:val="single"/>
        </w:rPr>
        <w:t>světelných nápisů a reklam, obrazovek a reprodukto</w:t>
      </w:r>
      <w:r w:rsidR="00107B6A" w:rsidRPr="00107B6A">
        <w:rPr>
          <w:rFonts w:cs="Arial"/>
          <w:b/>
          <w:sz w:val="20"/>
          <w:szCs w:val="20"/>
          <w:u w:val="single"/>
        </w:rPr>
        <w:t xml:space="preserve">rů pevně zavěšených </w:t>
      </w:r>
      <w:r w:rsidR="006B3A44">
        <w:rPr>
          <w:rFonts w:cs="Arial"/>
          <w:b/>
          <w:sz w:val="20"/>
          <w:szCs w:val="20"/>
          <w:u w:val="single"/>
        </w:rPr>
        <w:br/>
      </w:r>
      <w:r w:rsidR="00107B6A" w:rsidRPr="00107B6A">
        <w:rPr>
          <w:rFonts w:cs="Arial"/>
          <w:b/>
          <w:sz w:val="20"/>
          <w:szCs w:val="20"/>
          <w:u w:val="single"/>
        </w:rPr>
        <w:t xml:space="preserve">na chodbách, EZS, kamerových systémů, čidel, </w:t>
      </w:r>
      <w:r w:rsidR="00283382" w:rsidRPr="00107B6A">
        <w:rPr>
          <w:rFonts w:cs="Arial"/>
          <w:b/>
          <w:sz w:val="20"/>
          <w:szCs w:val="20"/>
          <w:u w:val="single"/>
        </w:rPr>
        <w:t>dataprojektorů</w:t>
      </w:r>
      <w:r w:rsidRPr="00107B6A">
        <w:rPr>
          <w:rFonts w:cs="Arial"/>
          <w:b/>
          <w:sz w:val="20"/>
          <w:szCs w:val="20"/>
          <w:u w:val="single"/>
        </w:rPr>
        <w:t xml:space="preserve"> pevně zavěšených v učebnách, informačních kiosků</w:t>
      </w:r>
      <w:r w:rsidR="00107B6A" w:rsidRPr="00107B6A">
        <w:rPr>
          <w:rFonts w:cs="Arial"/>
          <w:b/>
          <w:sz w:val="20"/>
          <w:szCs w:val="20"/>
          <w:u w:val="single"/>
        </w:rPr>
        <w:t xml:space="preserve"> </w:t>
      </w:r>
      <w:r w:rsidRPr="00107B6A">
        <w:rPr>
          <w:rFonts w:cs="Arial"/>
          <w:b/>
          <w:sz w:val="20"/>
          <w:szCs w:val="20"/>
          <w:u w:val="single"/>
        </w:rPr>
        <w:t>CVT. informačních tabulí umístěných uvnitř a na vnější straně budov apod.</w:t>
      </w:r>
    </w:p>
    <w:p w14:paraId="760AB9B2" w14:textId="23E88612" w:rsidR="0085758F" w:rsidRDefault="00E05E30" w:rsidP="0085758F">
      <w:pPr>
        <w:spacing w:line="280" w:lineRule="atLeast"/>
        <w:ind w:left="227"/>
        <w:rPr>
          <w:rFonts w:cs="Arial"/>
          <w:sz w:val="20"/>
          <w:szCs w:val="20"/>
        </w:rPr>
      </w:pPr>
      <w:r w:rsidRPr="00107B6A">
        <w:rPr>
          <w:rFonts w:cs="Arial"/>
          <w:sz w:val="20"/>
          <w:szCs w:val="20"/>
          <w:u w:val="single"/>
        </w:rPr>
        <w:t>Zvláštní ujednání:</w:t>
      </w:r>
      <w:r w:rsidRPr="00E05E30">
        <w:rPr>
          <w:rFonts w:cs="Arial"/>
          <w:sz w:val="20"/>
          <w:szCs w:val="20"/>
        </w:rPr>
        <w:t xml:space="preserve"> pojištění </w:t>
      </w:r>
      <w:r w:rsidR="005D487E">
        <w:rPr>
          <w:rFonts w:cs="Arial"/>
          <w:sz w:val="20"/>
          <w:szCs w:val="20"/>
        </w:rPr>
        <w:t xml:space="preserve">se </w:t>
      </w:r>
      <w:r w:rsidRPr="00E05E30">
        <w:rPr>
          <w:rFonts w:cs="Arial"/>
          <w:sz w:val="20"/>
          <w:szCs w:val="20"/>
        </w:rPr>
        <w:t>vztahuje i na škody, které nastanou na výše uvedených předmětech</w:t>
      </w:r>
      <w:r w:rsidR="006B3A44">
        <w:rPr>
          <w:rFonts w:cs="Arial"/>
          <w:sz w:val="20"/>
          <w:szCs w:val="20"/>
        </w:rPr>
        <w:t>,</w:t>
      </w:r>
      <w:r w:rsidRPr="00E05E30">
        <w:rPr>
          <w:rFonts w:cs="Arial"/>
          <w:sz w:val="20"/>
          <w:szCs w:val="20"/>
        </w:rPr>
        <w:t xml:space="preserve"> a to v</w:t>
      </w:r>
      <w:r w:rsidR="00107B6A">
        <w:rPr>
          <w:rFonts w:cs="Arial"/>
          <w:sz w:val="20"/>
          <w:szCs w:val="20"/>
        </w:rPr>
        <w:t xml:space="preserve"> </w:t>
      </w:r>
      <w:r w:rsidRPr="00E05E30">
        <w:rPr>
          <w:rFonts w:cs="Arial"/>
          <w:sz w:val="20"/>
          <w:szCs w:val="20"/>
        </w:rPr>
        <w:t xml:space="preserve">důsledku jejich odcizení, popř. jejich poškození nebo zničení, ke kterému dojde při pokusu </w:t>
      </w:r>
      <w:r w:rsidR="006B3A44">
        <w:rPr>
          <w:rFonts w:cs="Arial"/>
          <w:sz w:val="20"/>
          <w:szCs w:val="20"/>
        </w:rPr>
        <w:br/>
      </w:r>
      <w:r w:rsidRPr="00E05E30">
        <w:rPr>
          <w:rFonts w:cs="Arial"/>
          <w:sz w:val="20"/>
          <w:szCs w:val="20"/>
        </w:rPr>
        <w:t>o jejich odcizení. Všechny škody, které vzniknou v</w:t>
      </w:r>
      <w:r w:rsidR="00107B6A">
        <w:rPr>
          <w:rFonts w:cs="Arial"/>
          <w:sz w:val="20"/>
          <w:szCs w:val="20"/>
        </w:rPr>
        <w:t xml:space="preserve"> </w:t>
      </w:r>
      <w:r w:rsidRPr="00E05E30">
        <w:rPr>
          <w:rFonts w:cs="Arial"/>
          <w:sz w:val="20"/>
          <w:szCs w:val="20"/>
        </w:rPr>
        <w:t>důsledku tohoto rizika</w:t>
      </w:r>
      <w:r w:rsidR="00EB7AF0">
        <w:rPr>
          <w:rFonts w:cs="Arial"/>
          <w:sz w:val="20"/>
          <w:szCs w:val="20"/>
        </w:rPr>
        <w:t>,</w:t>
      </w:r>
      <w:r w:rsidRPr="00E05E30">
        <w:rPr>
          <w:rFonts w:cs="Arial"/>
          <w:sz w:val="20"/>
          <w:szCs w:val="20"/>
        </w:rPr>
        <w:t xml:space="preserve"> musí být hlášeny Policii ČR.</w:t>
      </w:r>
    </w:p>
    <w:p w14:paraId="09D0EFB6" w14:textId="19CFF635" w:rsidR="00E05E30" w:rsidRPr="00E05E30" w:rsidRDefault="00E05E30" w:rsidP="008210FA">
      <w:pPr>
        <w:spacing w:after="120" w:line="280" w:lineRule="atLeast"/>
        <w:ind w:left="227"/>
        <w:rPr>
          <w:rFonts w:cs="Arial"/>
          <w:sz w:val="20"/>
          <w:szCs w:val="20"/>
        </w:rPr>
      </w:pPr>
      <w:r w:rsidRPr="00E05E30">
        <w:rPr>
          <w:rFonts w:cs="Arial"/>
          <w:sz w:val="20"/>
          <w:szCs w:val="20"/>
        </w:rPr>
        <w:t>Při odcizení, popř. poškození nebo zničení stavebních</w:t>
      </w:r>
      <w:r w:rsidR="00107B6A">
        <w:rPr>
          <w:rFonts w:cs="Arial"/>
          <w:sz w:val="20"/>
          <w:szCs w:val="20"/>
        </w:rPr>
        <w:t xml:space="preserve"> </w:t>
      </w:r>
      <w:r w:rsidRPr="00E05E30">
        <w:rPr>
          <w:rFonts w:cs="Arial"/>
          <w:sz w:val="20"/>
          <w:szCs w:val="20"/>
        </w:rPr>
        <w:t>součástí, ke kterému dojde při jejich odcizení</w:t>
      </w:r>
      <w:r w:rsidR="00EB7AF0">
        <w:rPr>
          <w:rFonts w:cs="Arial"/>
          <w:sz w:val="20"/>
          <w:szCs w:val="20"/>
        </w:rPr>
        <w:t>,</w:t>
      </w:r>
      <w:r w:rsidRPr="00E05E30">
        <w:rPr>
          <w:rFonts w:cs="Arial"/>
          <w:sz w:val="20"/>
          <w:szCs w:val="20"/>
        </w:rPr>
        <w:t xml:space="preserve"> musí pachatel prokazatelně použít násilí. Předměty na vnější</w:t>
      </w:r>
      <w:r w:rsidR="00107B6A">
        <w:rPr>
          <w:rFonts w:cs="Arial"/>
          <w:sz w:val="20"/>
          <w:szCs w:val="20"/>
        </w:rPr>
        <w:t xml:space="preserve"> </w:t>
      </w:r>
      <w:r w:rsidRPr="00E05E30">
        <w:rPr>
          <w:rFonts w:cs="Arial"/>
          <w:sz w:val="20"/>
          <w:szCs w:val="20"/>
        </w:rPr>
        <w:t>straně budov a stavební součásti uvnitř i vně budov musí být k budově připevněny tak, že jejich demontáž</w:t>
      </w:r>
      <w:r w:rsidR="00107B6A">
        <w:rPr>
          <w:rFonts w:cs="Arial"/>
          <w:sz w:val="20"/>
          <w:szCs w:val="20"/>
        </w:rPr>
        <w:t xml:space="preserve"> </w:t>
      </w:r>
      <w:r w:rsidRPr="00E05E30">
        <w:rPr>
          <w:rFonts w:cs="Arial"/>
          <w:sz w:val="20"/>
          <w:szCs w:val="20"/>
        </w:rPr>
        <w:t>není možné provést bez použití násilí, nástrojů nebo nářadí. Pojištění se nevztahuje na škody, které způsobí</w:t>
      </w:r>
      <w:r w:rsidR="00107B6A">
        <w:rPr>
          <w:rFonts w:cs="Arial"/>
          <w:sz w:val="20"/>
          <w:szCs w:val="20"/>
        </w:rPr>
        <w:t xml:space="preserve"> </w:t>
      </w:r>
      <w:r w:rsidRPr="00E05E30">
        <w:rPr>
          <w:rFonts w:cs="Arial"/>
          <w:sz w:val="20"/>
          <w:szCs w:val="20"/>
        </w:rPr>
        <w:t>pojistník, pojištěný nebo jeho zástupce.</w:t>
      </w:r>
    </w:p>
    <w:p w14:paraId="3800054C" w14:textId="77777777" w:rsidR="008142CA" w:rsidRPr="008142CA" w:rsidRDefault="008142CA" w:rsidP="008142CA">
      <w:pPr>
        <w:spacing w:after="120" w:line="280" w:lineRule="atLeast"/>
        <w:ind w:left="227"/>
        <w:rPr>
          <w:rFonts w:cs="Arial"/>
          <w:b/>
          <w:sz w:val="20"/>
          <w:szCs w:val="20"/>
          <w:u w:val="single"/>
        </w:rPr>
      </w:pPr>
      <w:r w:rsidRPr="008142CA">
        <w:rPr>
          <w:rFonts w:cs="Arial"/>
          <w:b/>
          <w:sz w:val="20"/>
          <w:szCs w:val="20"/>
          <w:u w:val="single"/>
        </w:rPr>
        <w:t xml:space="preserve">Pojištění souboru protipožárních prostředků pojištěných objektů (hydrantové </w:t>
      </w:r>
      <w:r w:rsidR="00754159">
        <w:rPr>
          <w:rFonts w:cs="Arial"/>
          <w:b/>
          <w:sz w:val="20"/>
          <w:szCs w:val="20"/>
          <w:u w:val="single"/>
        </w:rPr>
        <w:t>skříně vč. jejich vybavení, hasi</w:t>
      </w:r>
      <w:r w:rsidRPr="008142CA">
        <w:rPr>
          <w:rFonts w:cs="Arial"/>
          <w:b/>
          <w:sz w:val="20"/>
          <w:szCs w:val="20"/>
          <w:u w:val="single"/>
        </w:rPr>
        <w:t>cí přístroje, případně skříně, pokud jsou tyto přístroje v nich uloženy)</w:t>
      </w:r>
    </w:p>
    <w:p w14:paraId="73D7F977" w14:textId="77777777" w:rsidR="008142CA" w:rsidRPr="008142CA" w:rsidRDefault="008142CA" w:rsidP="008142CA">
      <w:pPr>
        <w:spacing w:after="120" w:line="280" w:lineRule="atLeast"/>
        <w:ind w:left="227"/>
        <w:rPr>
          <w:rFonts w:cs="Arial"/>
          <w:sz w:val="20"/>
          <w:szCs w:val="20"/>
        </w:rPr>
      </w:pPr>
      <w:r w:rsidRPr="008142CA">
        <w:rPr>
          <w:rFonts w:cs="Arial"/>
          <w:sz w:val="20"/>
          <w:szCs w:val="20"/>
        </w:rPr>
        <w:t>Zvláštní ujednání: hadice a proudnice hydrantů jsou uzavřeny ve skříňkách upevněných šrouby, nastřelením</w:t>
      </w:r>
      <w:r>
        <w:rPr>
          <w:rFonts w:cs="Arial"/>
          <w:sz w:val="20"/>
          <w:szCs w:val="20"/>
        </w:rPr>
        <w:t xml:space="preserve"> </w:t>
      </w:r>
      <w:r w:rsidRPr="008142CA">
        <w:rPr>
          <w:rFonts w:cs="Arial"/>
          <w:sz w:val="20"/>
          <w:szCs w:val="20"/>
        </w:rPr>
        <w:t>nebo jinak pevně připojených</w:t>
      </w:r>
      <w:r w:rsidR="00754159">
        <w:rPr>
          <w:rFonts w:cs="Arial"/>
          <w:sz w:val="20"/>
          <w:szCs w:val="20"/>
        </w:rPr>
        <w:t xml:space="preserve"> k vnitřním stěnám objektů. Hasi</w:t>
      </w:r>
      <w:r w:rsidRPr="008142CA">
        <w:rPr>
          <w:rFonts w:cs="Arial"/>
          <w:sz w:val="20"/>
          <w:szCs w:val="20"/>
        </w:rPr>
        <w:t>cí přístroje a hadice včetně proudnic musí být</w:t>
      </w:r>
      <w:r>
        <w:rPr>
          <w:rFonts w:cs="Arial"/>
          <w:sz w:val="20"/>
          <w:szCs w:val="20"/>
        </w:rPr>
        <w:t xml:space="preserve"> </w:t>
      </w:r>
      <w:r w:rsidRPr="008142CA">
        <w:rPr>
          <w:rFonts w:cs="Arial"/>
          <w:sz w:val="20"/>
          <w:szCs w:val="20"/>
        </w:rPr>
        <w:t>uloženy a spravovány dle platných norem. Pojištěný je povinen případné poškození, zničení nebo ztrátu</w:t>
      </w:r>
      <w:r>
        <w:rPr>
          <w:rFonts w:cs="Arial"/>
          <w:sz w:val="20"/>
          <w:szCs w:val="20"/>
        </w:rPr>
        <w:t xml:space="preserve"> </w:t>
      </w:r>
      <w:r w:rsidR="00754159">
        <w:rPr>
          <w:rFonts w:cs="Arial"/>
          <w:sz w:val="20"/>
          <w:szCs w:val="20"/>
        </w:rPr>
        <w:t>hasi</w:t>
      </w:r>
      <w:r w:rsidRPr="008142CA">
        <w:rPr>
          <w:rFonts w:cs="Arial"/>
          <w:sz w:val="20"/>
          <w:szCs w:val="20"/>
        </w:rPr>
        <w:t>cích přístrojů a hydrantových hadic včetně proudnic oznámit ihned po zjištění příslušným policejním</w:t>
      </w:r>
      <w:r>
        <w:rPr>
          <w:rFonts w:cs="Arial"/>
          <w:sz w:val="20"/>
          <w:szCs w:val="20"/>
        </w:rPr>
        <w:t xml:space="preserve"> </w:t>
      </w:r>
      <w:r w:rsidRPr="008142CA">
        <w:rPr>
          <w:rFonts w:cs="Arial"/>
          <w:sz w:val="20"/>
          <w:szCs w:val="20"/>
        </w:rPr>
        <w:t>orgánům za účelem zahájení šetření.</w:t>
      </w:r>
    </w:p>
    <w:p w14:paraId="27FB3A3F" w14:textId="77777777" w:rsidR="002D58DD" w:rsidRDefault="002D58DD">
      <w:pPr>
        <w:jc w:val="left"/>
        <w:rPr>
          <w:rFonts w:cs="Arial"/>
          <w:b/>
          <w:sz w:val="20"/>
          <w:szCs w:val="20"/>
          <w:u w:val="single"/>
        </w:rPr>
      </w:pPr>
      <w:r>
        <w:rPr>
          <w:rFonts w:cs="Arial"/>
          <w:b/>
          <w:sz w:val="20"/>
          <w:szCs w:val="20"/>
          <w:u w:val="single"/>
        </w:rPr>
        <w:br w:type="page"/>
      </w:r>
    </w:p>
    <w:p w14:paraId="50CBAD21" w14:textId="77777777" w:rsidR="005B154A" w:rsidRDefault="005B154A" w:rsidP="005B154A">
      <w:pPr>
        <w:spacing w:line="280" w:lineRule="atLeast"/>
        <w:ind w:left="227"/>
        <w:rPr>
          <w:rFonts w:cs="Arial"/>
          <w:b/>
          <w:sz w:val="20"/>
          <w:szCs w:val="20"/>
          <w:u w:val="single"/>
        </w:rPr>
      </w:pPr>
    </w:p>
    <w:p w14:paraId="3F8A47A9" w14:textId="4CE38E01" w:rsidR="008142CA" w:rsidRPr="008142CA" w:rsidRDefault="008142CA" w:rsidP="005B154A">
      <w:pPr>
        <w:spacing w:after="120" w:line="280" w:lineRule="atLeast"/>
        <w:ind w:left="227"/>
        <w:rPr>
          <w:rFonts w:cs="Arial"/>
          <w:b/>
          <w:sz w:val="20"/>
          <w:szCs w:val="20"/>
          <w:u w:val="single"/>
        </w:rPr>
      </w:pPr>
      <w:r w:rsidRPr="008142CA">
        <w:rPr>
          <w:rFonts w:cs="Arial"/>
          <w:b/>
          <w:sz w:val="20"/>
          <w:szCs w:val="20"/>
          <w:u w:val="single"/>
        </w:rPr>
        <w:t xml:space="preserve">Pojištění vlastních a cizích věcí movitých na území </w:t>
      </w:r>
      <w:r w:rsidR="008210FA">
        <w:rPr>
          <w:rFonts w:cs="Arial"/>
          <w:b/>
          <w:sz w:val="20"/>
          <w:szCs w:val="20"/>
          <w:u w:val="single"/>
        </w:rPr>
        <w:t>Evropy</w:t>
      </w:r>
    </w:p>
    <w:p w14:paraId="36EBFAEF" w14:textId="46EB9A80" w:rsidR="00107B6A" w:rsidRDefault="008142CA" w:rsidP="008142CA">
      <w:pPr>
        <w:spacing w:after="120" w:line="280" w:lineRule="atLeast"/>
        <w:ind w:left="227"/>
        <w:rPr>
          <w:rFonts w:cs="Arial"/>
          <w:sz w:val="20"/>
          <w:szCs w:val="20"/>
        </w:rPr>
      </w:pPr>
      <w:r w:rsidRPr="008142CA">
        <w:rPr>
          <w:rFonts w:cs="Arial"/>
          <w:sz w:val="20"/>
          <w:szCs w:val="20"/>
        </w:rPr>
        <w:t>Zvláštní ujednání: pojišťují se movité věci, které pojištěný prokazatelně používá k pracovním účelům. Místem</w:t>
      </w:r>
      <w:r>
        <w:rPr>
          <w:rFonts w:cs="Arial"/>
          <w:sz w:val="20"/>
          <w:szCs w:val="20"/>
        </w:rPr>
        <w:t xml:space="preserve"> </w:t>
      </w:r>
      <w:r w:rsidRPr="008142CA">
        <w:rPr>
          <w:rFonts w:cs="Arial"/>
          <w:sz w:val="20"/>
          <w:szCs w:val="20"/>
        </w:rPr>
        <w:t>pojištění se ujednávají místa, kde pojištěný vykonává svou činnost (konference, semináře apod.) na území</w:t>
      </w:r>
      <w:r>
        <w:rPr>
          <w:rFonts w:cs="Arial"/>
          <w:sz w:val="20"/>
          <w:szCs w:val="20"/>
        </w:rPr>
        <w:t xml:space="preserve"> </w:t>
      </w:r>
      <w:r w:rsidR="008210FA">
        <w:rPr>
          <w:rFonts w:cs="Arial"/>
          <w:sz w:val="20"/>
          <w:szCs w:val="20"/>
        </w:rPr>
        <w:t>Evropy</w:t>
      </w:r>
      <w:r w:rsidRPr="008142CA">
        <w:rPr>
          <w:rFonts w:cs="Arial"/>
          <w:sz w:val="20"/>
          <w:szCs w:val="20"/>
        </w:rPr>
        <w:t>. Věci musí být uloženy v řádně uzamčené místnosti a při odcizení musí pachatel</w:t>
      </w:r>
      <w:r>
        <w:rPr>
          <w:rFonts w:cs="Arial"/>
          <w:sz w:val="20"/>
          <w:szCs w:val="20"/>
        </w:rPr>
        <w:t xml:space="preserve"> </w:t>
      </w:r>
      <w:r w:rsidRPr="008142CA">
        <w:rPr>
          <w:rFonts w:cs="Arial"/>
          <w:sz w:val="20"/>
          <w:szCs w:val="20"/>
        </w:rPr>
        <w:t>prokazatelně použít násilí.</w:t>
      </w:r>
    </w:p>
    <w:p w14:paraId="160662D1" w14:textId="0E595B4C" w:rsidR="008142CA" w:rsidRPr="00352F89" w:rsidRDefault="008142CA" w:rsidP="00DB45E2">
      <w:pPr>
        <w:spacing w:after="120" w:line="280" w:lineRule="atLeast"/>
        <w:ind w:left="227"/>
        <w:rPr>
          <w:rFonts w:cs="Arial"/>
          <w:b/>
          <w:sz w:val="20"/>
          <w:szCs w:val="20"/>
        </w:rPr>
      </w:pPr>
      <w:r w:rsidRPr="00352F89">
        <w:rPr>
          <w:rFonts w:cs="Arial"/>
          <w:b/>
          <w:sz w:val="20"/>
          <w:szCs w:val="20"/>
          <w:highlight w:val="yellow"/>
        </w:rPr>
        <w:t>II. Ostatní odchylné způsoby zabezpečení</w:t>
      </w:r>
    </w:p>
    <w:p w14:paraId="0E09A40D" w14:textId="153AFAEE" w:rsidR="008142CA" w:rsidRPr="00C21D18" w:rsidRDefault="008142CA" w:rsidP="008142CA">
      <w:pPr>
        <w:spacing w:after="120" w:line="280" w:lineRule="atLeast"/>
        <w:ind w:left="227"/>
        <w:rPr>
          <w:rFonts w:cs="Arial"/>
          <w:b/>
          <w:sz w:val="20"/>
          <w:szCs w:val="20"/>
          <w:u w:val="single"/>
        </w:rPr>
      </w:pPr>
      <w:r w:rsidRPr="00C21D18">
        <w:rPr>
          <w:rFonts w:cs="Arial"/>
          <w:b/>
          <w:sz w:val="20"/>
          <w:szCs w:val="20"/>
          <w:u w:val="single"/>
        </w:rPr>
        <w:t xml:space="preserve">1) Způsob zabezpečení movitých věcí na volném prostranství proti krádeži vloupáním </w:t>
      </w:r>
      <w:r w:rsidR="003215C5" w:rsidRPr="00C21D18">
        <w:rPr>
          <w:rFonts w:cs="Arial"/>
          <w:b/>
          <w:sz w:val="20"/>
          <w:szCs w:val="20"/>
          <w:u w:val="single"/>
        </w:rPr>
        <w:br/>
      </w:r>
      <w:r w:rsidRPr="00C21D18">
        <w:rPr>
          <w:rFonts w:cs="Arial"/>
          <w:b/>
          <w:sz w:val="20"/>
          <w:szCs w:val="20"/>
          <w:u w:val="single"/>
        </w:rPr>
        <w:t>do limitu</w:t>
      </w:r>
      <w:r w:rsidR="00352F89" w:rsidRPr="00C21D18">
        <w:rPr>
          <w:rFonts w:cs="Arial"/>
          <w:b/>
          <w:sz w:val="20"/>
          <w:szCs w:val="20"/>
          <w:u w:val="single"/>
        </w:rPr>
        <w:t xml:space="preserve"> plnění 100 000 </w:t>
      </w:r>
      <w:r w:rsidRPr="00C21D18">
        <w:rPr>
          <w:rFonts w:cs="Arial"/>
          <w:b/>
          <w:sz w:val="20"/>
          <w:szCs w:val="20"/>
          <w:u w:val="single"/>
        </w:rPr>
        <w:t>Kč:</w:t>
      </w:r>
    </w:p>
    <w:p w14:paraId="22E73C13" w14:textId="77777777" w:rsidR="00352F89" w:rsidRDefault="008142CA" w:rsidP="008142CA">
      <w:pPr>
        <w:spacing w:after="120" w:line="280" w:lineRule="atLeast"/>
        <w:ind w:left="227"/>
        <w:rPr>
          <w:rFonts w:cs="Arial"/>
          <w:sz w:val="20"/>
          <w:szCs w:val="20"/>
        </w:rPr>
      </w:pPr>
      <w:r w:rsidRPr="008142CA">
        <w:rPr>
          <w:rFonts w:cs="Arial"/>
          <w:sz w:val="20"/>
          <w:szCs w:val="20"/>
        </w:rPr>
        <w:t xml:space="preserve">Movité věci, které pro svoji značnou hmotnost, objem nebo z provozních důvodů nelze umístit </w:t>
      </w:r>
      <w:r w:rsidR="00754159">
        <w:rPr>
          <w:rFonts w:cs="Arial"/>
          <w:sz w:val="20"/>
          <w:szCs w:val="20"/>
        </w:rPr>
        <w:br/>
      </w:r>
      <w:r w:rsidRPr="008142CA">
        <w:rPr>
          <w:rFonts w:cs="Arial"/>
          <w:sz w:val="20"/>
          <w:szCs w:val="20"/>
        </w:rPr>
        <w:t>do</w:t>
      </w:r>
      <w:r w:rsidR="00352F89">
        <w:rPr>
          <w:rFonts w:cs="Arial"/>
          <w:sz w:val="20"/>
          <w:szCs w:val="20"/>
        </w:rPr>
        <w:t xml:space="preserve"> </w:t>
      </w:r>
      <w:r w:rsidRPr="008142CA">
        <w:rPr>
          <w:rFonts w:cs="Arial"/>
          <w:sz w:val="20"/>
          <w:szCs w:val="20"/>
        </w:rPr>
        <w:t>uzavřeného prostoru, jsou uloženy na volném prostranství opatřeném funkčním pevně ukotveným oplocením</w:t>
      </w:r>
      <w:r w:rsidR="00352F89">
        <w:rPr>
          <w:rFonts w:cs="Arial"/>
          <w:sz w:val="20"/>
          <w:szCs w:val="20"/>
        </w:rPr>
        <w:t xml:space="preserve"> </w:t>
      </w:r>
      <w:r w:rsidRPr="008142CA">
        <w:rPr>
          <w:rFonts w:cs="Arial"/>
          <w:sz w:val="20"/>
          <w:szCs w:val="20"/>
        </w:rPr>
        <w:t>s minimální výší 140 cm a vraty uzamčenými jedním bezpečnostním zámkem nebo vraty ovládanými</w:t>
      </w:r>
      <w:r w:rsidR="00352F89">
        <w:rPr>
          <w:rFonts w:cs="Arial"/>
          <w:sz w:val="20"/>
          <w:szCs w:val="20"/>
        </w:rPr>
        <w:t xml:space="preserve"> </w:t>
      </w:r>
      <w:r w:rsidRPr="008142CA">
        <w:rPr>
          <w:rFonts w:cs="Arial"/>
          <w:sz w:val="20"/>
          <w:szCs w:val="20"/>
        </w:rPr>
        <w:t>čipovou kartou nebo obsluhou vrátnice.</w:t>
      </w:r>
    </w:p>
    <w:p w14:paraId="1BF864F8" w14:textId="4A025339" w:rsidR="008142CA" w:rsidRDefault="008142CA" w:rsidP="008142CA">
      <w:pPr>
        <w:spacing w:after="120" w:line="280" w:lineRule="atLeast"/>
        <w:ind w:left="227"/>
        <w:rPr>
          <w:rFonts w:cs="Arial"/>
          <w:sz w:val="20"/>
          <w:szCs w:val="20"/>
        </w:rPr>
      </w:pPr>
      <w:r w:rsidRPr="008142CA">
        <w:rPr>
          <w:rFonts w:cs="Arial"/>
          <w:sz w:val="20"/>
          <w:szCs w:val="20"/>
        </w:rPr>
        <w:t>Předměty, které nelze pro jejich rozměry, hmotnosti nebo z provozních a funkčních důvodů umístit do</w:t>
      </w:r>
      <w:r w:rsidR="00352F89">
        <w:rPr>
          <w:rFonts w:cs="Arial"/>
          <w:sz w:val="20"/>
          <w:szCs w:val="20"/>
        </w:rPr>
        <w:t xml:space="preserve"> </w:t>
      </w:r>
      <w:r w:rsidRPr="008142CA">
        <w:rPr>
          <w:rFonts w:cs="Arial"/>
          <w:sz w:val="20"/>
          <w:szCs w:val="20"/>
        </w:rPr>
        <w:t>uzamčených prostor místa pojištění jsou umístěny na neoploceném volném prostranství v rámci území</w:t>
      </w:r>
      <w:r w:rsidR="00352F89">
        <w:rPr>
          <w:rFonts w:cs="Arial"/>
          <w:sz w:val="20"/>
          <w:szCs w:val="20"/>
        </w:rPr>
        <w:t xml:space="preserve"> </w:t>
      </w:r>
      <w:r w:rsidRPr="008142CA">
        <w:rPr>
          <w:rFonts w:cs="Arial"/>
          <w:sz w:val="20"/>
          <w:szCs w:val="20"/>
        </w:rPr>
        <w:t xml:space="preserve">města </w:t>
      </w:r>
      <w:r w:rsidR="008210FA">
        <w:rPr>
          <w:rFonts w:cs="Arial"/>
          <w:sz w:val="20"/>
          <w:szCs w:val="20"/>
        </w:rPr>
        <w:t>Olomouce</w:t>
      </w:r>
      <w:r w:rsidRPr="008142CA">
        <w:rPr>
          <w:rFonts w:cs="Arial"/>
          <w:sz w:val="20"/>
          <w:szCs w:val="20"/>
        </w:rPr>
        <w:t>. Tyto předměty musí být zabezpečeny tak, aby při jejich odcizení musel pachatel</w:t>
      </w:r>
      <w:r w:rsidR="00352F89">
        <w:rPr>
          <w:rFonts w:cs="Arial"/>
          <w:sz w:val="20"/>
          <w:szCs w:val="20"/>
        </w:rPr>
        <w:t xml:space="preserve"> </w:t>
      </w:r>
      <w:r w:rsidRPr="008142CA">
        <w:rPr>
          <w:rFonts w:cs="Arial"/>
          <w:sz w:val="20"/>
          <w:szCs w:val="20"/>
        </w:rPr>
        <w:t>prokazatelně použít násilí. Všechny škody, které vzniknou v důsledku tohoto rizika</w:t>
      </w:r>
      <w:r w:rsidR="00754159">
        <w:rPr>
          <w:rFonts w:cs="Arial"/>
          <w:sz w:val="20"/>
          <w:szCs w:val="20"/>
        </w:rPr>
        <w:t>,</w:t>
      </w:r>
      <w:r w:rsidRPr="008142CA">
        <w:rPr>
          <w:rFonts w:cs="Arial"/>
          <w:sz w:val="20"/>
          <w:szCs w:val="20"/>
        </w:rPr>
        <w:t xml:space="preserve"> musí být hlášeny Policii</w:t>
      </w:r>
      <w:r w:rsidR="00352F89">
        <w:rPr>
          <w:rFonts w:cs="Arial"/>
          <w:sz w:val="20"/>
          <w:szCs w:val="20"/>
        </w:rPr>
        <w:t xml:space="preserve"> </w:t>
      </w:r>
      <w:r w:rsidRPr="008142CA">
        <w:rPr>
          <w:rFonts w:cs="Arial"/>
          <w:sz w:val="20"/>
          <w:szCs w:val="20"/>
        </w:rPr>
        <w:t>ČR.</w:t>
      </w:r>
    </w:p>
    <w:p w14:paraId="23463D2F" w14:textId="77777777" w:rsidR="00ED6ED6" w:rsidRPr="00C21D18" w:rsidRDefault="008142CA" w:rsidP="008142CA">
      <w:pPr>
        <w:spacing w:after="120" w:line="280" w:lineRule="atLeast"/>
        <w:ind w:left="227"/>
        <w:rPr>
          <w:rFonts w:cs="Arial"/>
          <w:b/>
          <w:sz w:val="20"/>
          <w:szCs w:val="20"/>
          <w:u w:val="single"/>
        </w:rPr>
      </w:pPr>
      <w:r w:rsidRPr="00C21D18">
        <w:rPr>
          <w:rFonts w:cs="Arial"/>
          <w:b/>
          <w:sz w:val="20"/>
          <w:szCs w:val="20"/>
          <w:u w:val="single"/>
        </w:rPr>
        <w:t xml:space="preserve">2) </w:t>
      </w:r>
      <w:r w:rsidR="007B49E9" w:rsidRPr="00C21D18">
        <w:rPr>
          <w:rFonts w:cs="Arial"/>
          <w:b/>
          <w:sz w:val="20"/>
          <w:szCs w:val="20"/>
          <w:u w:val="single"/>
        </w:rPr>
        <w:t xml:space="preserve">Způsob zabezpečení movitých věcí a zásob umístěných v ocelových kontejnerech </w:t>
      </w:r>
      <w:r w:rsidR="007B49E9" w:rsidRPr="00C21D18">
        <w:rPr>
          <w:rFonts w:cs="Arial"/>
          <w:b/>
          <w:sz w:val="20"/>
          <w:szCs w:val="20"/>
          <w:u w:val="single"/>
        </w:rPr>
        <w:br/>
        <w:t>na volném prostranství</w:t>
      </w:r>
    </w:p>
    <w:p w14:paraId="58A60BAA" w14:textId="77777777" w:rsidR="007B49E9" w:rsidRPr="007B49E9" w:rsidRDefault="007B49E9" w:rsidP="008142CA">
      <w:pPr>
        <w:spacing w:after="120" w:line="280" w:lineRule="atLeast"/>
        <w:ind w:left="227"/>
        <w:rPr>
          <w:rFonts w:cs="Arial"/>
          <w:sz w:val="20"/>
          <w:szCs w:val="20"/>
        </w:rPr>
      </w:pPr>
      <w:r>
        <w:rPr>
          <w:rFonts w:cs="Arial"/>
          <w:sz w:val="20"/>
          <w:szCs w:val="20"/>
        </w:rPr>
        <w:t>Za uzavřený prostor se považují i ocelové kontejnery</w:t>
      </w:r>
      <w:r w:rsidR="00BA4AB7">
        <w:rPr>
          <w:rFonts w:cs="Arial"/>
          <w:sz w:val="20"/>
          <w:szCs w:val="20"/>
        </w:rPr>
        <w:t xml:space="preserve">. Pojistitel poskytne pojistné plnění do limitu plnění 500 000 Kč, pokud budou předměty pojištění umístěny v uzamčeném ocelovém kontejneru. Ocelový kontejner je </w:t>
      </w:r>
      <w:r w:rsidR="00DC5E78">
        <w:rPr>
          <w:rFonts w:cs="Arial"/>
          <w:sz w:val="20"/>
          <w:szCs w:val="20"/>
        </w:rPr>
        <w:t xml:space="preserve">uzamčen dvěma visacími zámky s kaleným třmenem o min. </w:t>
      </w:r>
      <w:r w:rsidR="00132269">
        <w:rPr>
          <w:rFonts w:cs="Arial"/>
          <w:sz w:val="20"/>
          <w:szCs w:val="20"/>
        </w:rPr>
        <w:t>Ø</w:t>
      </w:r>
      <w:r w:rsidR="00DC5E78">
        <w:rPr>
          <w:rFonts w:cs="Arial"/>
          <w:sz w:val="20"/>
          <w:szCs w:val="20"/>
        </w:rPr>
        <w:t>10 mm</w:t>
      </w:r>
      <w:r w:rsidR="00132269">
        <w:rPr>
          <w:rFonts w:cs="Arial"/>
          <w:sz w:val="20"/>
          <w:szCs w:val="20"/>
        </w:rPr>
        <w:t>.</w:t>
      </w:r>
    </w:p>
    <w:p w14:paraId="751A5F8E" w14:textId="77777777" w:rsidR="008142CA" w:rsidRPr="00C21D18" w:rsidRDefault="00ED6ED6" w:rsidP="008142CA">
      <w:pPr>
        <w:spacing w:after="120" w:line="280" w:lineRule="atLeast"/>
        <w:ind w:left="227"/>
        <w:rPr>
          <w:rFonts w:cs="Arial"/>
          <w:b/>
          <w:sz w:val="20"/>
          <w:szCs w:val="20"/>
          <w:u w:val="single"/>
        </w:rPr>
      </w:pPr>
      <w:r w:rsidRPr="00C21D18">
        <w:rPr>
          <w:rFonts w:cs="Arial"/>
          <w:b/>
          <w:sz w:val="20"/>
          <w:szCs w:val="20"/>
          <w:u w:val="single"/>
        </w:rPr>
        <w:t xml:space="preserve">3) </w:t>
      </w:r>
      <w:r w:rsidR="008142CA" w:rsidRPr="00C21D18">
        <w:rPr>
          <w:rFonts w:cs="Arial"/>
          <w:b/>
          <w:sz w:val="20"/>
          <w:szCs w:val="20"/>
          <w:u w:val="single"/>
        </w:rPr>
        <w:t>Způsob zabezpečení zásob a movitých věcí proti krádeži vloupáním:</w:t>
      </w:r>
    </w:p>
    <w:p w14:paraId="2AE8738A" w14:textId="5ED66BA9" w:rsidR="008142CA" w:rsidRPr="00352F89" w:rsidRDefault="008210FA" w:rsidP="008142CA">
      <w:pPr>
        <w:spacing w:after="120" w:line="280" w:lineRule="atLeast"/>
        <w:ind w:left="227"/>
        <w:rPr>
          <w:rFonts w:cs="Arial"/>
          <w:b/>
          <w:sz w:val="20"/>
          <w:szCs w:val="20"/>
        </w:rPr>
      </w:pPr>
      <w:r>
        <w:rPr>
          <w:rFonts w:cs="Arial"/>
          <w:b/>
          <w:sz w:val="20"/>
          <w:szCs w:val="20"/>
        </w:rPr>
        <w:t>a</w:t>
      </w:r>
      <w:r w:rsidR="00352F89">
        <w:rPr>
          <w:rFonts w:cs="Arial"/>
          <w:b/>
          <w:sz w:val="20"/>
          <w:szCs w:val="20"/>
        </w:rPr>
        <w:t>) do limitu plnění 100 </w:t>
      </w:r>
      <w:r w:rsidR="008142CA" w:rsidRPr="00352F89">
        <w:rPr>
          <w:rFonts w:cs="Arial"/>
          <w:b/>
          <w:sz w:val="20"/>
          <w:szCs w:val="20"/>
        </w:rPr>
        <w:t>000</w:t>
      </w:r>
      <w:r w:rsidR="00352F89">
        <w:rPr>
          <w:rFonts w:cs="Arial"/>
          <w:b/>
          <w:sz w:val="20"/>
          <w:szCs w:val="20"/>
        </w:rPr>
        <w:t xml:space="preserve"> </w:t>
      </w:r>
      <w:r w:rsidR="008142CA" w:rsidRPr="00352F89">
        <w:rPr>
          <w:rFonts w:cs="Arial"/>
          <w:b/>
          <w:sz w:val="20"/>
          <w:szCs w:val="20"/>
        </w:rPr>
        <w:t>Kč:</w:t>
      </w:r>
    </w:p>
    <w:p w14:paraId="32A54156" w14:textId="3B880522" w:rsidR="008142CA" w:rsidRPr="008142CA" w:rsidRDefault="008210FA" w:rsidP="008142CA">
      <w:pPr>
        <w:spacing w:after="120" w:line="280" w:lineRule="atLeast"/>
        <w:ind w:left="227"/>
        <w:rPr>
          <w:rFonts w:cs="Arial"/>
          <w:sz w:val="20"/>
          <w:szCs w:val="20"/>
        </w:rPr>
      </w:pPr>
      <w:r>
        <w:rPr>
          <w:rFonts w:cs="Arial"/>
          <w:sz w:val="20"/>
          <w:szCs w:val="20"/>
        </w:rPr>
        <w:t>a</w:t>
      </w:r>
      <w:r w:rsidR="008142CA" w:rsidRPr="008142CA">
        <w:rPr>
          <w:rFonts w:cs="Arial"/>
          <w:sz w:val="20"/>
          <w:szCs w:val="20"/>
        </w:rPr>
        <w:t xml:space="preserve">1) Vstupní otvory místnosti (dveře) jsou vybaveny minimálně jedním zadlabacím nebo </w:t>
      </w:r>
      <w:r w:rsidR="00C75758" w:rsidRPr="008142CA">
        <w:rPr>
          <w:rFonts w:cs="Arial"/>
          <w:sz w:val="20"/>
          <w:szCs w:val="20"/>
        </w:rPr>
        <w:t>dozickým</w:t>
      </w:r>
      <w:r w:rsidR="008142CA" w:rsidRPr="008142CA">
        <w:rPr>
          <w:rFonts w:cs="Arial"/>
          <w:sz w:val="20"/>
          <w:szCs w:val="20"/>
        </w:rPr>
        <w:t xml:space="preserve"> zámkem.</w:t>
      </w:r>
      <w:r w:rsidR="00352F89">
        <w:rPr>
          <w:rFonts w:cs="Arial"/>
          <w:sz w:val="20"/>
          <w:szCs w:val="20"/>
        </w:rPr>
        <w:t xml:space="preserve"> </w:t>
      </w:r>
      <w:r w:rsidR="008142CA" w:rsidRPr="008142CA">
        <w:rPr>
          <w:rFonts w:cs="Arial"/>
          <w:sz w:val="20"/>
          <w:szCs w:val="20"/>
        </w:rPr>
        <w:t>Věci v učebnách (počítače, přístroje apod.), které nejsou s ohledem na provoz školy uzamčeny a jsou volně</w:t>
      </w:r>
      <w:r w:rsidR="00352F89">
        <w:rPr>
          <w:rFonts w:cs="Arial"/>
          <w:sz w:val="20"/>
          <w:szCs w:val="20"/>
        </w:rPr>
        <w:t xml:space="preserve"> </w:t>
      </w:r>
      <w:r w:rsidR="008142CA" w:rsidRPr="008142CA">
        <w:rPr>
          <w:rFonts w:cs="Arial"/>
          <w:sz w:val="20"/>
          <w:szCs w:val="20"/>
        </w:rPr>
        <w:t>přístupné studentům, jsou uloženy v řádně uzamčených skříňkách.</w:t>
      </w:r>
    </w:p>
    <w:p w14:paraId="08C84FAB" w14:textId="7D6CB2B4" w:rsidR="008142CA" w:rsidRPr="008142CA" w:rsidRDefault="008210FA" w:rsidP="008142CA">
      <w:pPr>
        <w:spacing w:after="120" w:line="280" w:lineRule="atLeast"/>
        <w:ind w:left="227"/>
        <w:rPr>
          <w:rFonts w:cs="Arial"/>
          <w:sz w:val="20"/>
          <w:szCs w:val="20"/>
        </w:rPr>
      </w:pPr>
      <w:r>
        <w:rPr>
          <w:rFonts w:cs="Arial"/>
          <w:sz w:val="20"/>
          <w:szCs w:val="20"/>
        </w:rPr>
        <w:t>a</w:t>
      </w:r>
      <w:r w:rsidR="008142CA" w:rsidRPr="008142CA">
        <w:rPr>
          <w:rFonts w:cs="Arial"/>
          <w:sz w:val="20"/>
          <w:szCs w:val="20"/>
        </w:rPr>
        <w:t>2) Věci jsou uloženy v budovách školy na chodbách v dřevěných boxech opatřených visacím zámkem</w:t>
      </w:r>
      <w:r w:rsidR="00352F89">
        <w:rPr>
          <w:rFonts w:cs="Arial"/>
          <w:sz w:val="20"/>
          <w:szCs w:val="20"/>
        </w:rPr>
        <w:t xml:space="preserve"> </w:t>
      </w:r>
      <w:r w:rsidR="008142CA" w:rsidRPr="008142CA">
        <w:rPr>
          <w:rFonts w:cs="Arial"/>
          <w:sz w:val="20"/>
          <w:szCs w:val="20"/>
        </w:rPr>
        <w:t xml:space="preserve">s tvrzeným třmenem </w:t>
      </w:r>
      <w:r w:rsidR="001208AD">
        <w:rPr>
          <w:rFonts w:cs="Arial"/>
          <w:sz w:val="20"/>
          <w:szCs w:val="20"/>
        </w:rPr>
        <w:t xml:space="preserve">o </w:t>
      </w:r>
      <w:r w:rsidR="008142CA" w:rsidRPr="008142CA">
        <w:rPr>
          <w:rFonts w:cs="Arial"/>
          <w:sz w:val="20"/>
          <w:szCs w:val="20"/>
        </w:rPr>
        <w:t xml:space="preserve">min. </w:t>
      </w:r>
      <w:r w:rsidR="001208AD">
        <w:rPr>
          <w:rFonts w:cs="Arial"/>
          <w:sz w:val="20"/>
          <w:szCs w:val="20"/>
        </w:rPr>
        <w:t>Ø10 mm</w:t>
      </w:r>
      <w:r w:rsidR="008142CA" w:rsidRPr="008142CA">
        <w:rPr>
          <w:rFonts w:cs="Arial"/>
          <w:sz w:val="20"/>
          <w:szCs w:val="20"/>
        </w:rPr>
        <w:t>.</w:t>
      </w:r>
    </w:p>
    <w:p w14:paraId="7956D9D3" w14:textId="03CC245A" w:rsidR="008142CA" w:rsidRPr="00352F89" w:rsidRDefault="008210FA" w:rsidP="008142CA">
      <w:pPr>
        <w:spacing w:after="120" w:line="280" w:lineRule="atLeast"/>
        <w:ind w:left="227"/>
        <w:rPr>
          <w:rFonts w:cs="Arial"/>
          <w:b/>
          <w:sz w:val="20"/>
          <w:szCs w:val="20"/>
        </w:rPr>
      </w:pPr>
      <w:r>
        <w:rPr>
          <w:rFonts w:cs="Arial"/>
          <w:b/>
          <w:sz w:val="20"/>
          <w:szCs w:val="20"/>
        </w:rPr>
        <w:t>b</w:t>
      </w:r>
      <w:r w:rsidR="008142CA" w:rsidRPr="00352F89">
        <w:rPr>
          <w:rFonts w:cs="Arial"/>
          <w:b/>
          <w:sz w:val="20"/>
          <w:szCs w:val="20"/>
        </w:rPr>
        <w:t>) do limitu plnění od 100</w:t>
      </w:r>
      <w:r w:rsidR="00352F89">
        <w:rPr>
          <w:rFonts w:cs="Arial"/>
          <w:b/>
          <w:sz w:val="20"/>
          <w:szCs w:val="20"/>
        </w:rPr>
        <w:t> </w:t>
      </w:r>
      <w:r w:rsidR="008142CA" w:rsidRPr="00352F89">
        <w:rPr>
          <w:rFonts w:cs="Arial"/>
          <w:b/>
          <w:sz w:val="20"/>
          <w:szCs w:val="20"/>
        </w:rPr>
        <w:t>000</w:t>
      </w:r>
      <w:r w:rsidR="00352F89">
        <w:rPr>
          <w:rFonts w:cs="Arial"/>
          <w:b/>
          <w:sz w:val="20"/>
          <w:szCs w:val="20"/>
        </w:rPr>
        <w:t xml:space="preserve"> </w:t>
      </w:r>
      <w:r w:rsidR="008142CA" w:rsidRPr="00352F89">
        <w:rPr>
          <w:rFonts w:cs="Arial"/>
          <w:b/>
          <w:sz w:val="20"/>
          <w:szCs w:val="20"/>
        </w:rPr>
        <w:t>Kč do 500</w:t>
      </w:r>
      <w:r w:rsidR="00352F89">
        <w:rPr>
          <w:rFonts w:cs="Arial"/>
          <w:b/>
          <w:sz w:val="20"/>
          <w:szCs w:val="20"/>
        </w:rPr>
        <w:t> </w:t>
      </w:r>
      <w:r w:rsidR="008142CA" w:rsidRPr="00352F89">
        <w:rPr>
          <w:rFonts w:cs="Arial"/>
          <w:b/>
          <w:sz w:val="20"/>
          <w:szCs w:val="20"/>
        </w:rPr>
        <w:t>000</w:t>
      </w:r>
      <w:r w:rsidR="00352F89">
        <w:rPr>
          <w:rFonts w:cs="Arial"/>
          <w:b/>
          <w:sz w:val="20"/>
          <w:szCs w:val="20"/>
        </w:rPr>
        <w:t xml:space="preserve"> </w:t>
      </w:r>
      <w:r w:rsidR="008142CA" w:rsidRPr="00352F89">
        <w:rPr>
          <w:rFonts w:cs="Arial"/>
          <w:b/>
          <w:sz w:val="20"/>
          <w:szCs w:val="20"/>
        </w:rPr>
        <w:t>Kč:</w:t>
      </w:r>
    </w:p>
    <w:p w14:paraId="13EF5C8E" w14:textId="378EC4E6" w:rsidR="008210FA" w:rsidRDefault="008142CA" w:rsidP="0085758F">
      <w:pPr>
        <w:spacing w:after="120" w:line="280" w:lineRule="atLeast"/>
        <w:ind w:left="227"/>
        <w:rPr>
          <w:rFonts w:cs="Arial"/>
          <w:sz w:val="20"/>
          <w:szCs w:val="20"/>
        </w:rPr>
      </w:pPr>
      <w:r w:rsidRPr="008142CA">
        <w:rPr>
          <w:rFonts w:cs="Arial"/>
          <w:sz w:val="20"/>
          <w:szCs w:val="20"/>
        </w:rPr>
        <w:t>Dveře jsou celoplošné odolné proti vloupání (např. sololitové apod.) nebo prosklené (sklo se zvýšenou</w:t>
      </w:r>
      <w:r w:rsidR="00352F89">
        <w:rPr>
          <w:rFonts w:cs="Arial"/>
          <w:sz w:val="20"/>
          <w:szCs w:val="20"/>
        </w:rPr>
        <w:t xml:space="preserve"> </w:t>
      </w:r>
      <w:r w:rsidRPr="008142CA">
        <w:rPr>
          <w:rFonts w:cs="Arial"/>
          <w:sz w:val="20"/>
          <w:szCs w:val="20"/>
        </w:rPr>
        <w:t>odolností nebo opatřené folií nebo mříží nebo zabezpečené jiným způsobem, který by zvyšoval jeho</w:t>
      </w:r>
      <w:r w:rsidR="00352F89">
        <w:rPr>
          <w:rFonts w:cs="Arial"/>
          <w:sz w:val="20"/>
          <w:szCs w:val="20"/>
        </w:rPr>
        <w:t xml:space="preserve"> </w:t>
      </w:r>
      <w:r w:rsidRPr="008142CA">
        <w:rPr>
          <w:rFonts w:cs="Arial"/>
          <w:sz w:val="20"/>
          <w:szCs w:val="20"/>
        </w:rPr>
        <w:t xml:space="preserve">odolnost proti rozbití, proražení apod.) a budou vybaveny min. jedním zadlabacím zámkem nebo </w:t>
      </w:r>
      <w:r w:rsidR="00352F89">
        <w:rPr>
          <w:rFonts w:cs="Arial"/>
          <w:sz w:val="20"/>
          <w:szCs w:val="20"/>
        </w:rPr>
        <w:t xml:space="preserve">dozickým </w:t>
      </w:r>
      <w:r w:rsidRPr="008142CA">
        <w:rPr>
          <w:rFonts w:cs="Arial"/>
          <w:sz w:val="20"/>
          <w:szCs w:val="20"/>
        </w:rPr>
        <w:t>zámkem. Místnosti jsou zabezpečeny EZS s prostorovou a plášťovou ochranou (pohybová čidla, čidla</w:t>
      </w:r>
      <w:r w:rsidR="00352F89">
        <w:rPr>
          <w:rFonts w:cs="Arial"/>
          <w:sz w:val="20"/>
          <w:szCs w:val="20"/>
        </w:rPr>
        <w:t xml:space="preserve"> </w:t>
      </w:r>
      <w:r w:rsidRPr="008142CA">
        <w:rPr>
          <w:rFonts w:cs="Arial"/>
          <w:sz w:val="20"/>
          <w:szCs w:val="20"/>
        </w:rPr>
        <w:t>destrukce skla), u dvoukřídlých dveří je vyhlášen poplach při otevření křídla) a svodem signálu na vrátnici se</w:t>
      </w:r>
      <w:r w:rsidR="00352F89">
        <w:rPr>
          <w:rFonts w:cs="Arial"/>
          <w:sz w:val="20"/>
          <w:szCs w:val="20"/>
        </w:rPr>
        <w:t xml:space="preserve"> </w:t>
      </w:r>
      <w:r w:rsidRPr="008142CA">
        <w:rPr>
          <w:rFonts w:cs="Arial"/>
          <w:sz w:val="20"/>
          <w:szCs w:val="20"/>
        </w:rPr>
        <w:t>stálou ostrahou.</w:t>
      </w:r>
    </w:p>
    <w:p w14:paraId="7EC440F4" w14:textId="77777777" w:rsidR="00DB45E2" w:rsidRDefault="00DB45E2">
      <w:pPr>
        <w:jc w:val="left"/>
        <w:rPr>
          <w:rFonts w:cs="Arial"/>
          <w:b/>
          <w:sz w:val="20"/>
          <w:szCs w:val="20"/>
        </w:rPr>
      </w:pPr>
      <w:r>
        <w:rPr>
          <w:rFonts w:cs="Arial"/>
          <w:b/>
          <w:sz w:val="20"/>
          <w:szCs w:val="20"/>
        </w:rPr>
        <w:br w:type="page"/>
      </w:r>
    </w:p>
    <w:p w14:paraId="014F7288" w14:textId="77777777" w:rsidR="00DB45E2" w:rsidRDefault="00DB45E2" w:rsidP="00DB45E2">
      <w:pPr>
        <w:spacing w:line="280" w:lineRule="atLeast"/>
        <w:ind w:left="227"/>
        <w:rPr>
          <w:rFonts w:cs="Arial"/>
          <w:b/>
          <w:sz w:val="20"/>
          <w:szCs w:val="20"/>
        </w:rPr>
      </w:pPr>
    </w:p>
    <w:p w14:paraId="60BE7273" w14:textId="49FCC647" w:rsidR="008142CA" w:rsidRPr="00352F89" w:rsidRDefault="00275FCD" w:rsidP="00DB45E2">
      <w:pPr>
        <w:spacing w:after="120" w:line="280" w:lineRule="atLeast"/>
        <w:ind w:left="227"/>
        <w:rPr>
          <w:rFonts w:cs="Arial"/>
          <w:b/>
          <w:sz w:val="20"/>
          <w:szCs w:val="20"/>
        </w:rPr>
      </w:pPr>
      <w:r>
        <w:rPr>
          <w:rFonts w:cs="Arial"/>
          <w:b/>
          <w:sz w:val="20"/>
          <w:szCs w:val="20"/>
        </w:rPr>
        <w:t>c</w:t>
      </w:r>
      <w:r w:rsidR="008142CA" w:rsidRPr="00352F89">
        <w:rPr>
          <w:rFonts w:cs="Arial"/>
          <w:b/>
          <w:sz w:val="20"/>
          <w:szCs w:val="20"/>
        </w:rPr>
        <w:t>) do limitu plnění od 500</w:t>
      </w:r>
      <w:r w:rsidR="00352F89" w:rsidRPr="00352F89">
        <w:rPr>
          <w:rFonts w:cs="Arial"/>
          <w:b/>
          <w:sz w:val="20"/>
          <w:szCs w:val="20"/>
        </w:rPr>
        <w:t> </w:t>
      </w:r>
      <w:r w:rsidR="008142CA" w:rsidRPr="00352F89">
        <w:rPr>
          <w:rFonts w:cs="Arial"/>
          <w:b/>
          <w:sz w:val="20"/>
          <w:szCs w:val="20"/>
        </w:rPr>
        <w:t>000</w:t>
      </w:r>
      <w:r w:rsidR="00352F89" w:rsidRPr="00352F89">
        <w:rPr>
          <w:rFonts w:cs="Arial"/>
          <w:b/>
          <w:sz w:val="20"/>
          <w:szCs w:val="20"/>
        </w:rPr>
        <w:t xml:space="preserve"> </w:t>
      </w:r>
      <w:r w:rsidR="008142CA" w:rsidRPr="00352F89">
        <w:rPr>
          <w:rFonts w:cs="Arial"/>
          <w:b/>
          <w:sz w:val="20"/>
          <w:szCs w:val="20"/>
        </w:rPr>
        <w:t>Kč do 2 000</w:t>
      </w:r>
      <w:r w:rsidR="00352F89" w:rsidRPr="00352F89">
        <w:rPr>
          <w:rFonts w:cs="Arial"/>
          <w:b/>
          <w:sz w:val="20"/>
          <w:szCs w:val="20"/>
        </w:rPr>
        <w:t> </w:t>
      </w:r>
      <w:r w:rsidR="008142CA" w:rsidRPr="00352F89">
        <w:rPr>
          <w:rFonts w:cs="Arial"/>
          <w:b/>
          <w:sz w:val="20"/>
          <w:szCs w:val="20"/>
        </w:rPr>
        <w:t>000</w:t>
      </w:r>
      <w:r w:rsidR="00352F89" w:rsidRPr="00352F89">
        <w:rPr>
          <w:rFonts w:cs="Arial"/>
          <w:b/>
          <w:sz w:val="20"/>
          <w:szCs w:val="20"/>
        </w:rPr>
        <w:t xml:space="preserve"> </w:t>
      </w:r>
      <w:r w:rsidR="008142CA" w:rsidRPr="00352F89">
        <w:rPr>
          <w:rFonts w:cs="Arial"/>
          <w:b/>
          <w:sz w:val="20"/>
          <w:szCs w:val="20"/>
        </w:rPr>
        <w:t>Kč:</w:t>
      </w:r>
    </w:p>
    <w:p w14:paraId="05398ED5" w14:textId="77777777" w:rsidR="00107B6A" w:rsidRDefault="008142CA" w:rsidP="008142CA">
      <w:pPr>
        <w:spacing w:after="120" w:line="280" w:lineRule="atLeast"/>
        <w:ind w:left="227"/>
        <w:rPr>
          <w:rFonts w:cs="Arial"/>
          <w:sz w:val="20"/>
          <w:szCs w:val="20"/>
        </w:rPr>
      </w:pPr>
      <w:r w:rsidRPr="008142CA">
        <w:rPr>
          <w:rFonts w:cs="Arial"/>
          <w:sz w:val="20"/>
          <w:szCs w:val="20"/>
        </w:rPr>
        <w:t xml:space="preserve">Místnost je opatřena dveřmi (celoplošné odolné proti vloupání, např. sololitové apod., nebo prosklené </w:t>
      </w:r>
      <w:r w:rsidR="00352F89">
        <w:rPr>
          <w:rFonts w:cs="Arial"/>
          <w:sz w:val="20"/>
          <w:szCs w:val="20"/>
        </w:rPr>
        <w:t>–</w:t>
      </w:r>
      <w:r w:rsidRPr="008142CA">
        <w:rPr>
          <w:rFonts w:cs="Arial"/>
          <w:sz w:val="20"/>
          <w:szCs w:val="20"/>
        </w:rPr>
        <w:t xml:space="preserve"> sklo</w:t>
      </w:r>
      <w:r w:rsidR="00352F89">
        <w:rPr>
          <w:rFonts w:cs="Arial"/>
          <w:sz w:val="20"/>
          <w:szCs w:val="20"/>
        </w:rPr>
        <w:t xml:space="preserve"> </w:t>
      </w:r>
      <w:r w:rsidRPr="008142CA">
        <w:rPr>
          <w:rFonts w:cs="Arial"/>
          <w:sz w:val="20"/>
          <w:szCs w:val="20"/>
        </w:rPr>
        <w:t>se zvýšenou odolností nebo opatřené folií nebo mříží nebo zabezpečené jiným způsobem) s</w:t>
      </w:r>
      <w:r w:rsidR="00352F89">
        <w:rPr>
          <w:rFonts w:cs="Arial"/>
          <w:sz w:val="20"/>
          <w:szCs w:val="20"/>
        </w:rPr>
        <w:t> </w:t>
      </w:r>
      <w:r w:rsidRPr="008142CA">
        <w:rPr>
          <w:rFonts w:cs="Arial"/>
          <w:sz w:val="20"/>
          <w:szCs w:val="20"/>
        </w:rPr>
        <w:t>bezpečnostním</w:t>
      </w:r>
      <w:r w:rsidR="00352F89">
        <w:rPr>
          <w:rFonts w:cs="Arial"/>
          <w:sz w:val="20"/>
          <w:szCs w:val="20"/>
        </w:rPr>
        <w:t xml:space="preserve"> </w:t>
      </w:r>
      <w:r w:rsidRPr="008142CA">
        <w:rPr>
          <w:rFonts w:cs="Arial"/>
          <w:sz w:val="20"/>
          <w:szCs w:val="20"/>
        </w:rPr>
        <w:t>zámkem typ R1. Místnosti jsou zabezpečeny EZS s prostorovou a plášťovou ochranou (pohybová čidla,</w:t>
      </w:r>
      <w:r w:rsidR="00352F89">
        <w:rPr>
          <w:rFonts w:cs="Arial"/>
          <w:sz w:val="20"/>
          <w:szCs w:val="20"/>
        </w:rPr>
        <w:t xml:space="preserve"> </w:t>
      </w:r>
      <w:r w:rsidRPr="008142CA">
        <w:rPr>
          <w:rFonts w:cs="Arial"/>
          <w:sz w:val="20"/>
          <w:szCs w:val="20"/>
        </w:rPr>
        <w:t>čidla destrukce skla), u dvoukřídlých dveří je vyhlášen poplach při otevření křídla) a svodem signálu na</w:t>
      </w:r>
      <w:r w:rsidR="00352F89">
        <w:rPr>
          <w:rFonts w:cs="Arial"/>
          <w:sz w:val="20"/>
          <w:szCs w:val="20"/>
        </w:rPr>
        <w:t xml:space="preserve"> </w:t>
      </w:r>
      <w:r w:rsidRPr="008142CA">
        <w:rPr>
          <w:rFonts w:cs="Arial"/>
          <w:sz w:val="20"/>
          <w:szCs w:val="20"/>
        </w:rPr>
        <w:t>vrátnici se stálou ostrahou.</w:t>
      </w:r>
    </w:p>
    <w:p w14:paraId="50082A10" w14:textId="431E1299" w:rsidR="00C21D18" w:rsidRPr="00B5607F" w:rsidRDefault="00C21D18" w:rsidP="00DB45E2">
      <w:pPr>
        <w:spacing w:after="120" w:line="280" w:lineRule="atLeast"/>
        <w:ind w:left="227"/>
        <w:rPr>
          <w:rFonts w:cs="Arial"/>
          <w:b/>
          <w:sz w:val="20"/>
          <w:szCs w:val="20"/>
        </w:rPr>
      </w:pPr>
      <w:r w:rsidRPr="00C21D18">
        <w:rPr>
          <w:rFonts w:cs="Arial"/>
          <w:b/>
          <w:sz w:val="20"/>
          <w:szCs w:val="20"/>
          <w:highlight w:val="yellow"/>
        </w:rPr>
        <w:t>I</w:t>
      </w:r>
      <w:r>
        <w:rPr>
          <w:rFonts w:cs="Arial"/>
          <w:b/>
          <w:sz w:val="20"/>
          <w:szCs w:val="20"/>
          <w:highlight w:val="yellow"/>
        </w:rPr>
        <w:t>II</w:t>
      </w:r>
      <w:r w:rsidRPr="00C21D18">
        <w:rPr>
          <w:rFonts w:cs="Arial"/>
          <w:b/>
          <w:sz w:val="20"/>
          <w:szCs w:val="20"/>
          <w:highlight w:val="yellow"/>
        </w:rPr>
        <w:t>. Odchylné způsoby zabezpečení cenností na pokladnách a v trezorech</w:t>
      </w:r>
    </w:p>
    <w:p w14:paraId="2CF6CFE3" w14:textId="2E13E7AC" w:rsidR="00FD510C" w:rsidRPr="002C39FE" w:rsidRDefault="00FD510C" w:rsidP="002C39FE">
      <w:pPr>
        <w:spacing w:after="60" w:line="280" w:lineRule="atLeast"/>
        <w:ind w:left="227"/>
        <w:rPr>
          <w:rFonts w:cs="Arial"/>
          <w:b/>
          <w:sz w:val="20"/>
          <w:szCs w:val="20"/>
          <w:u w:val="single"/>
        </w:rPr>
      </w:pPr>
      <w:r w:rsidRPr="002C39FE">
        <w:rPr>
          <w:rFonts w:cs="Arial"/>
          <w:b/>
          <w:sz w:val="20"/>
          <w:szCs w:val="20"/>
          <w:u w:val="single"/>
        </w:rPr>
        <w:t>Nespecifikovaná místa pojištění:</w:t>
      </w:r>
    </w:p>
    <w:p w14:paraId="21E95DBC" w14:textId="7F3EF2D5" w:rsidR="00352F89" w:rsidRPr="00FE4B25" w:rsidRDefault="00352F89" w:rsidP="00FE4B25">
      <w:pPr>
        <w:pStyle w:val="Odstavecseseznamem"/>
        <w:numPr>
          <w:ilvl w:val="0"/>
          <w:numId w:val="28"/>
        </w:numPr>
        <w:spacing w:after="60" w:line="280" w:lineRule="atLeast"/>
        <w:rPr>
          <w:rFonts w:cs="Arial"/>
          <w:b/>
          <w:sz w:val="20"/>
          <w:szCs w:val="20"/>
        </w:rPr>
      </w:pPr>
      <w:r w:rsidRPr="00FE4B25">
        <w:rPr>
          <w:rFonts w:cs="Arial"/>
          <w:b/>
          <w:sz w:val="20"/>
          <w:szCs w:val="20"/>
        </w:rPr>
        <w:t>do limit</w:t>
      </w:r>
      <w:r w:rsidR="00C21D18" w:rsidRPr="00FE4B25">
        <w:rPr>
          <w:rFonts w:cs="Arial"/>
          <w:b/>
          <w:sz w:val="20"/>
          <w:szCs w:val="20"/>
        </w:rPr>
        <w:t>u</w:t>
      </w:r>
      <w:r w:rsidRPr="00FE4B25">
        <w:rPr>
          <w:rFonts w:cs="Arial"/>
          <w:b/>
          <w:sz w:val="20"/>
          <w:szCs w:val="20"/>
        </w:rPr>
        <w:t xml:space="preserve"> plnění 30 000 Kč</w:t>
      </w:r>
    </w:p>
    <w:p w14:paraId="10BDC2DA" w14:textId="77777777" w:rsidR="00352F89" w:rsidRDefault="00352F89" w:rsidP="00FE4B25">
      <w:pPr>
        <w:pStyle w:val="Odstavecseseznamem"/>
        <w:numPr>
          <w:ilvl w:val="0"/>
          <w:numId w:val="27"/>
        </w:numPr>
        <w:spacing w:before="60" w:line="280" w:lineRule="atLeast"/>
        <w:ind w:left="850" w:hanging="357"/>
        <w:contextualSpacing w:val="0"/>
        <w:rPr>
          <w:rFonts w:cs="Arial"/>
          <w:sz w:val="20"/>
          <w:szCs w:val="20"/>
        </w:rPr>
      </w:pPr>
      <w:r w:rsidRPr="00352F89">
        <w:rPr>
          <w:rFonts w:cs="Arial"/>
          <w:sz w:val="20"/>
          <w:szCs w:val="20"/>
        </w:rPr>
        <w:t>Cennosti uloženy v příruční plechové uzamčené pokladně, která je umístěna v uzamčeném stole nebo ve</w:t>
      </w:r>
      <w:r>
        <w:rPr>
          <w:rFonts w:cs="Arial"/>
          <w:sz w:val="20"/>
          <w:szCs w:val="20"/>
        </w:rPr>
        <w:t xml:space="preserve"> </w:t>
      </w:r>
      <w:r w:rsidRPr="00352F89">
        <w:rPr>
          <w:rFonts w:cs="Arial"/>
          <w:sz w:val="20"/>
          <w:szCs w:val="20"/>
        </w:rPr>
        <w:t>skříni, v uzamčené místnosti.</w:t>
      </w:r>
    </w:p>
    <w:p w14:paraId="04C91865" w14:textId="42393EF3" w:rsidR="002C39FE" w:rsidRPr="002C39FE" w:rsidRDefault="002C39FE" w:rsidP="002C39FE">
      <w:pPr>
        <w:pStyle w:val="Odstavecseseznamem"/>
        <w:numPr>
          <w:ilvl w:val="0"/>
          <w:numId w:val="28"/>
        </w:numPr>
        <w:spacing w:before="120" w:after="60" w:line="280" w:lineRule="atLeast"/>
        <w:ind w:left="584" w:hanging="357"/>
        <w:contextualSpacing w:val="0"/>
        <w:rPr>
          <w:rFonts w:cs="Arial"/>
          <w:b/>
          <w:sz w:val="20"/>
          <w:szCs w:val="20"/>
        </w:rPr>
      </w:pPr>
      <w:r w:rsidRPr="002C39FE">
        <w:rPr>
          <w:rFonts w:cs="Arial"/>
          <w:b/>
          <w:sz w:val="20"/>
          <w:szCs w:val="20"/>
        </w:rPr>
        <w:t>do limitu plnění 1 000 000 Kč</w:t>
      </w:r>
    </w:p>
    <w:p w14:paraId="31B994D6" w14:textId="77777777" w:rsidR="002C39FE" w:rsidRPr="002C39FE" w:rsidRDefault="002C39FE" w:rsidP="002C39FE">
      <w:pPr>
        <w:pStyle w:val="Odstavecseseznamem"/>
        <w:numPr>
          <w:ilvl w:val="0"/>
          <w:numId w:val="27"/>
        </w:numPr>
        <w:spacing w:before="60" w:line="280" w:lineRule="atLeast"/>
        <w:ind w:left="850" w:hanging="357"/>
        <w:contextualSpacing w:val="0"/>
        <w:rPr>
          <w:rFonts w:cs="Arial"/>
          <w:sz w:val="20"/>
          <w:szCs w:val="20"/>
        </w:rPr>
      </w:pPr>
      <w:r w:rsidRPr="002C39FE">
        <w:rPr>
          <w:rFonts w:cs="Arial"/>
          <w:sz w:val="20"/>
          <w:szCs w:val="20"/>
        </w:rPr>
        <w:t>Místnost je opatřena bezpečnostními dveřmi s vícebodovým zamykáním s bezpečnostním zámkem. Místnost je zabezpečena EZS s prostorovou a plášťovou ochranou (pohybová čidla, čidla destrukce skla) se svodem signálu na vrátnici / recepci, na oknech jsou mříže a po vstupu do místnosti pokladny je přepážka od zbytku místnosti oddělena bezpečnostním sklem. Cennosti jsou dále uloženy v trezoru bezpečnostní třídy III. a hmotnosti nad 500 kg.</w:t>
      </w:r>
    </w:p>
    <w:p w14:paraId="7DA79026" w14:textId="406DE775" w:rsidR="002C39FE" w:rsidRPr="002C39FE" w:rsidRDefault="002C39FE" w:rsidP="002C39FE">
      <w:pPr>
        <w:spacing w:before="120" w:after="60" w:line="280" w:lineRule="atLeast"/>
        <w:ind w:left="227"/>
        <w:rPr>
          <w:rFonts w:cs="Arial"/>
          <w:b/>
          <w:sz w:val="20"/>
          <w:szCs w:val="20"/>
          <w:u w:val="single"/>
        </w:rPr>
      </w:pPr>
      <w:r>
        <w:rPr>
          <w:rFonts w:cs="Arial"/>
          <w:b/>
          <w:sz w:val="20"/>
          <w:szCs w:val="20"/>
          <w:u w:val="single"/>
        </w:rPr>
        <w:t>Jmenovitá</w:t>
      </w:r>
      <w:r w:rsidRPr="002C39FE">
        <w:rPr>
          <w:rFonts w:cs="Arial"/>
          <w:b/>
          <w:sz w:val="20"/>
          <w:szCs w:val="20"/>
          <w:u w:val="single"/>
        </w:rPr>
        <w:t xml:space="preserve"> místa pojištění:</w:t>
      </w:r>
    </w:p>
    <w:p w14:paraId="698B04CD" w14:textId="64F5364C" w:rsidR="00C21D18" w:rsidRPr="00FE4B25" w:rsidRDefault="00C21D18" w:rsidP="002C39FE">
      <w:pPr>
        <w:pStyle w:val="Odstavecseseznamem"/>
        <w:numPr>
          <w:ilvl w:val="0"/>
          <w:numId w:val="29"/>
        </w:numPr>
        <w:spacing w:before="120" w:after="60" w:line="280" w:lineRule="atLeast"/>
        <w:ind w:left="567"/>
        <w:contextualSpacing w:val="0"/>
        <w:rPr>
          <w:rFonts w:cs="Arial"/>
          <w:b/>
          <w:sz w:val="20"/>
          <w:szCs w:val="20"/>
        </w:rPr>
      </w:pPr>
      <w:r w:rsidRPr="00FE4B25">
        <w:rPr>
          <w:rFonts w:cs="Arial"/>
          <w:b/>
          <w:sz w:val="20"/>
          <w:szCs w:val="20"/>
        </w:rPr>
        <w:t>do limitu plnění 900 000 Kč, adresa: Olomouc, Křížkovského 10 – pokladna</w:t>
      </w:r>
    </w:p>
    <w:p w14:paraId="6E53F57D" w14:textId="34B66D4A" w:rsidR="00C21D18" w:rsidRPr="00C21D18" w:rsidRDefault="00C21D18" w:rsidP="00FE4B25">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uzavřený prostor, vstupní dveře pancéřové řádně uzamčené bezpečnostním uzamykacím systémem zabraňujícím</w:t>
      </w:r>
      <w:r>
        <w:rPr>
          <w:rFonts w:cs="Arial"/>
          <w:sz w:val="20"/>
          <w:szCs w:val="20"/>
        </w:rPr>
        <w:t xml:space="preserve"> </w:t>
      </w:r>
      <w:r w:rsidRPr="00C21D18">
        <w:rPr>
          <w:rFonts w:cs="Arial"/>
          <w:sz w:val="20"/>
          <w:szCs w:val="20"/>
        </w:rPr>
        <w:t>odvrtání a rozlomení a se západy do všech stran v zárubni (10 míst)</w:t>
      </w:r>
    </w:p>
    <w:p w14:paraId="25FDBB91" w14:textId="6BA74C21" w:rsidR="00C21D18" w:rsidRPr="00C21D18" w:rsidRDefault="00C21D18" w:rsidP="00FE4B25">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uložené v trezoru BT II</w:t>
      </w:r>
      <w:r w:rsidR="00DB45E2">
        <w:rPr>
          <w:rFonts w:cs="Arial"/>
          <w:sz w:val="20"/>
          <w:szCs w:val="20"/>
        </w:rPr>
        <w:t>.</w:t>
      </w:r>
      <w:r w:rsidRPr="00C21D18">
        <w:rPr>
          <w:rFonts w:cs="Arial"/>
          <w:sz w:val="20"/>
          <w:szCs w:val="20"/>
        </w:rPr>
        <w:t xml:space="preserve"> (bezpečnostní třídy)</w:t>
      </w:r>
    </w:p>
    <w:p w14:paraId="12116698" w14:textId="2397FFBF" w:rsidR="00C21D18" w:rsidRPr="00C21D18" w:rsidRDefault="00C21D18" w:rsidP="00FE4B25">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okna (prosklené části) opatřená funkční mříží</w:t>
      </w:r>
    </w:p>
    <w:p w14:paraId="60FD99B7" w14:textId="171E262E" w:rsidR="00C21D18" w:rsidRPr="00C21D18" w:rsidRDefault="00C21D18" w:rsidP="00FE4B25">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instalována funkční EZS (elektronická zabezpečovací signalizace) s prostorovými čidly, sirénou a vyvedením na</w:t>
      </w:r>
      <w:r>
        <w:rPr>
          <w:rFonts w:cs="Arial"/>
          <w:sz w:val="20"/>
          <w:szCs w:val="20"/>
        </w:rPr>
        <w:t xml:space="preserve"> </w:t>
      </w:r>
      <w:r w:rsidRPr="00C21D18">
        <w:rPr>
          <w:rFonts w:cs="Arial"/>
          <w:sz w:val="20"/>
          <w:szCs w:val="20"/>
        </w:rPr>
        <w:t>pult na vrátnici Křížkovského 8 s nepřetržitou službou (24h denně)</w:t>
      </w:r>
    </w:p>
    <w:p w14:paraId="7BFEFEE8" w14:textId="690E2215" w:rsidR="00C21D18" w:rsidRPr="00C21D18" w:rsidRDefault="00FE4B25" w:rsidP="002C39FE">
      <w:pPr>
        <w:pStyle w:val="Odstavecseseznamem"/>
        <w:numPr>
          <w:ilvl w:val="0"/>
          <w:numId w:val="29"/>
        </w:numPr>
        <w:spacing w:before="120" w:after="60" w:line="280" w:lineRule="atLeast"/>
        <w:ind w:left="567"/>
        <w:contextualSpacing w:val="0"/>
        <w:rPr>
          <w:rFonts w:cs="Arial"/>
          <w:b/>
          <w:sz w:val="20"/>
          <w:szCs w:val="20"/>
        </w:rPr>
      </w:pPr>
      <w:r>
        <w:rPr>
          <w:rFonts w:cs="Arial"/>
          <w:b/>
          <w:sz w:val="20"/>
          <w:szCs w:val="20"/>
        </w:rPr>
        <w:t>do limitu plnění</w:t>
      </w:r>
      <w:r w:rsidRPr="00C21D18">
        <w:rPr>
          <w:rFonts w:cs="Arial"/>
          <w:b/>
          <w:sz w:val="20"/>
          <w:szCs w:val="20"/>
        </w:rPr>
        <w:t xml:space="preserve"> </w:t>
      </w:r>
      <w:r w:rsidR="00C21D18" w:rsidRPr="00C21D18">
        <w:rPr>
          <w:rFonts w:cs="Arial"/>
          <w:b/>
          <w:sz w:val="20"/>
          <w:szCs w:val="20"/>
        </w:rPr>
        <w:t>500</w:t>
      </w:r>
      <w:r>
        <w:rPr>
          <w:rFonts w:cs="Arial"/>
          <w:b/>
          <w:sz w:val="20"/>
          <w:szCs w:val="20"/>
        </w:rPr>
        <w:t> </w:t>
      </w:r>
      <w:r w:rsidR="00C21D18" w:rsidRPr="00C21D18">
        <w:rPr>
          <w:rFonts w:cs="Arial"/>
          <w:b/>
          <w:sz w:val="20"/>
          <w:szCs w:val="20"/>
        </w:rPr>
        <w:t>000</w:t>
      </w:r>
      <w:r>
        <w:rPr>
          <w:rFonts w:cs="Arial"/>
          <w:b/>
          <w:sz w:val="20"/>
          <w:szCs w:val="20"/>
        </w:rPr>
        <w:t xml:space="preserve"> Kč, adresa: </w:t>
      </w:r>
      <w:r w:rsidR="00C21D18" w:rsidRPr="00C21D18">
        <w:rPr>
          <w:rFonts w:cs="Arial"/>
          <w:b/>
          <w:sz w:val="20"/>
          <w:szCs w:val="20"/>
        </w:rPr>
        <w:t>Olomouc, Šmeralova 10, koleje J.L.Fischera</w:t>
      </w:r>
    </w:p>
    <w:p w14:paraId="31AEC466" w14:textId="2BD29903" w:rsidR="00C21D18" w:rsidRPr="00C21D18" w:rsidRDefault="00C21D18" w:rsidP="00FE4B25">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uzavřený prostor, dveře prosklené konstrukce opatřeno kováním R1 a R3, řádně uzamčené bezpečnostním</w:t>
      </w:r>
      <w:r w:rsidR="00FE4B25">
        <w:rPr>
          <w:rFonts w:cs="Arial"/>
          <w:sz w:val="20"/>
          <w:szCs w:val="20"/>
        </w:rPr>
        <w:t xml:space="preserve"> </w:t>
      </w:r>
      <w:r w:rsidRPr="00C21D18">
        <w:rPr>
          <w:rFonts w:cs="Arial"/>
          <w:sz w:val="20"/>
          <w:szCs w:val="20"/>
        </w:rPr>
        <w:t>uzamykacím systémem (vložka je chráněna proti odvrtání a rozlomení) a přídavným bezpečnostním zámkem</w:t>
      </w:r>
    </w:p>
    <w:p w14:paraId="18B14464" w14:textId="07B0AA7F" w:rsidR="00C21D18" w:rsidRPr="00C21D18" w:rsidRDefault="00C21D18" w:rsidP="00FE4B25">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uložené v trezoru Triton BT I</w:t>
      </w:r>
    </w:p>
    <w:p w14:paraId="63996C4E" w14:textId="7DEEDF38" w:rsidR="00C21D18" w:rsidRPr="00C21D18" w:rsidRDefault="00C21D18" w:rsidP="00D36927">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nepřetržitá služba na vrátnici budovy</w:t>
      </w:r>
    </w:p>
    <w:p w14:paraId="0FDCE8D5" w14:textId="7E778EDB" w:rsidR="00C21D18" w:rsidRPr="00C21D18" w:rsidRDefault="00C21D18" w:rsidP="00FE4B25">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prosklené části – bezpečnostní skla nebo fólie, prosklené části vrátnice opatřené bezpečnostní fólií</w:t>
      </w:r>
    </w:p>
    <w:p w14:paraId="28DCF22C" w14:textId="66FBA5CB" w:rsidR="00C21D18" w:rsidRPr="00C21D18" w:rsidRDefault="00FE4B25" w:rsidP="002C39FE">
      <w:pPr>
        <w:pStyle w:val="Odstavecseseznamem"/>
        <w:numPr>
          <w:ilvl w:val="0"/>
          <w:numId w:val="29"/>
        </w:numPr>
        <w:spacing w:before="120" w:after="60" w:line="280" w:lineRule="atLeast"/>
        <w:ind w:left="567"/>
        <w:contextualSpacing w:val="0"/>
        <w:rPr>
          <w:rFonts w:cs="Arial"/>
          <w:b/>
          <w:sz w:val="20"/>
          <w:szCs w:val="20"/>
        </w:rPr>
      </w:pPr>
      <w:r w:rsidRPr="00FE4B25">
        <w:rPr>
          <w:rFonts w:cs="Arial"/>
          <w:b/>
          <w:sz w:val="20"/>
          <w:szCs w:val="20"/>
        </w:rPr>
        <w:t xml:space="preserve">do limitu plnění </w:t>
      </w:r>
      <w:r w:rsidR="00C21D18" w:rsidRPr="00C21D18">
        <w:rPr>
          <w:rFonts w:cs="Arial"/>
          <w:b/>
          <w:sz w:val="20"/>
          <w:szCs w:val="20"/>
        </w:rPr>
        <w:t>15</w:t>
      </w:r>
      <w:r>
        <w:rPr>
          <w:rFonts w:cs="Arial"/>
          <w:b/>
          <w:sz w:val="20"/>
          <w:szCs w:val="20"/>
        </w:rPr>
        <w:t> </w:t>
      </w:r>
      <w:r w:rsidR="00C21D18" w:rsidRPr="00C21D18">
        <w:rPr>
          <w:rFonts w:cs="Arial"/>
          <w:b/>
          <w:sz w:val="20"/>
          <w:szCs w:val="20"/>
        </w:rPr>
        <w:t>000</w:t>
      </w:r>
      <w:r>
        <w:rPr>
          <w:rFonts w:cs="Arial"/>
          <w:b/>
          <w:sz w:val="20"/>
          <w:szCs w:val="20"/>
        </w:rPr>
        <w:t xml:space="preserve"> Kč, adresa: </w:t>
      </w:r>
      <w:r w:rsidR="00C21D18" w:rsidRPr="00C21D18">
        <w:rPr>
          <w:rFonts w:cs="Arial"/>
          <w:b/>
          <w:sz w:val="20"/>
          <w:szCs w:val="20"/>
        </w:rPr>
        <w:t>Olomouc, Šmeralova 10, koleje J.L.Fischera – vrátnice</w:t>
      </w:r>
    </w:p>
    <w:p w14:paraId="11A2F351" w14:textId="3F07BC84" w:rsidR="00C21D18" w:rsidRPr="00C21D18" w:rsidRDefault="00C21D18" w:rsidP="00FE4B25">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uzavřený prostor, dveře prosklené konstrukce opatřeno kováním R1 a R3, řádně uzamčené bezpečnostním</w:t>
      </w:r>
      <w:r w:rsidR="00FE4B25">
        <w:rPr>
          <w:rFonts w:cs="Arial"/>
          <w:sz w:val="20"/>
          <w:szCs w:val="20"/>
        </w:rPr>
        <w:t xml:space="preserve"> </w:t>
      </w:r>
      <w:r w:rsidRPr="00C21D18">
        <w:rPr>
          <w:rFonts w:cs="Arial"/>
          <w:sz w:val="20"/>
          <w:szCs w:val="20"/>
        </w:rPr>
        <w:t>uzamykacím systémem</w:t>
      </w:r>
    </w:p>
    <w:p w14:paraId="335D247F" w14:textId="772A185F" w:rsidR="00C21D18" w:rsidRPr="00C21D18" w:rsidRDefault="00C21D18" w:rsidP="00FE4B25">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uložené uzamykatelné zásuvce</w:t>
      </w:r>
    </w:p>
    <w:p w14:paraId="174DED36" w14:textId="3F575190" w:rsidR="00C21D18" w:rsidRPr="00C21D18" w:rsidRDefault="00C21D18" w:rsidP="00FE4B25">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prosklené části vrátnice opatřené bezpečnostní fólií</w:t>
      </w:r>
    </w:p>
    <w:p w14:paraId="0CCE4778" w14:textId="236BD9CC" w:rsidR="002C39FE" w:rsidRPr="002C39FE" w:rsidRDefault="00C21D18" w:rsidP="002C39FE">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nepřetržitá služba na vrátnici budovy</w:t>
      </w:r>
    </w:p>
    <w:p w14:paraId="15B5395A" w14:textId="77777777" w:rsidR="002C39FE" w:rsidRDefault="002C39FE">
      <w:pPr>
        <w:jc w:val="left"/>
        <w:rPr>
          <w:rFonts w:cs="Arial"/>
          <w:b/>
          <w:sz w:val="20"/>
          <w:szCs w:val="20"/>
        </w:rPr>
      </w:pPr>
      <w:r>
        <w:rPr>
          <w:rFonts w:cs="Arial"/>
          <w:b/>
          <w:sz w:val="20"/>
          <w:szCs w:val="20"/>
        </w:rPr>
        <w:br w:type="page"/>
      </w:r>
    </w:p>
    <w:p w14:paraId="38290BB6" w14:textId="77777777" w:rsidR="002C39FE" w:rsidRPr="002C39FE" w:rsidRDefault="002C39FE" w:rsidP="002C39FE">
      <w:pPr>
        <w:spacing w:before="120" w:line="280" w:lineRule="atLeast"/>
        <w:rPr>
          <w:rFonts w:cs="Arial"/>
          <w:b/>
          <w:sz w:val="20"/>
          <w:szCs w:val="20"/>
        </w:rPr>
      </w:pPr>
    </w:p>
    <w:p w14:paraId="31FBDAF5" w14:textId="6466005E" w:rsidR="00C21D18" w:rsidRPr="00C21D18" w:rsidRDefault="00FE4B25" w:rsidP="002C39FE">
      <w:pPr>
        <w:pStyle w:val="Odstavecseseznamem"/>
        <w:numPr>
          <w:ilvl w:val="0"/>
          <w:numId w:val="29"/>
        </w:numPr>
        <w:spacing w:after="60" w:line="280" w:lineRule="atLeast"/>
        <w:ind w:left="567"/>
        <w:contextualSpacing w:val="0"/>
        <w:rPr>
          <w:rFonts w:cs="Arial"/>
          <w:b/>
          <w:sz w:val="20"/>
          <w:szCs w:val="20"/>
        </w:rPr>
      </w:pPr>
      <w:r w:rsidRPr="00FE4B25">
        <w:rPr>
          <w:rFonts w:cs="Arial"/>
          <w:b/>
          <w:sz w:val="20"/>
          <w:szCs w:val="20"/>
        </w:rPr>
        <w:t xml:space="preserve">do limitu plnění </w:t>
      </w:r>
      <w:r w:rsidR="00C21D18" w:rsidRPr="00C21D18">
        <w:rPr>
          <w:rFonts w:cs="Arial"/>
          <w:b/>
          <w:sz w:val="20"/>
          <w:szCs w:val="20"/>
        </w:rPr>
        <w:t>500</w:t>
      </w:r>
      <w:r>
        <w:rPr>
          <w:rFonts w:cs="Arial"/>
          <w:b/>
          <w:sz w:val="20"/>
          <w:szCs w:val="20"/>
        </w:rPr>
        <w:t> </w:t>
      </w:r>
      <w:r w:rsidR="00C21D18" w:rsidRPr="00C21D18">
        <w:rPr>
          <w:rFonts w:cs="Arial"/>
          <w:b/>
          <w:sz w:val="20"/>
          <w:szCs w:val="20"/>
        </w:rPr>
        <w:t>000</w:t>
      </w:r>
      <w:r>
        <w:rPr>
          <w:rFonts w:cs="Arial"/>
          <w:b/>
          <w:sz w:val="20"/>
          <w:szCs w:val="20"/>
        </w:rPr>
        <w:t xml:space="preserve"> Kč, adresa:</w:t>
      </w:r>
      <w:r w:rsidR="00C21D18" w:rsidRPr="00C21D18">
        <w:rPr>
          <w:rFonts w:cs="Arial"/>
          <w:b/>
          <w:sz w:val="20"/>
          <w:szCs w:val="20"/>
        </w:rPr>
        <w:t xml:space="preserve"> Olomouc, Šmeralova 12, koleje gen. Svobody </w:t>
      </w:r>
      <w:r>
        <w:rPr>
          <w:rFonts w:cs="Arial"/>
          <w:b/>
          <w:sz w:val="20"/>
          <w:szCs w:val="20"/>
        </w:rPr>
        <w:t>–</w:t>
      </w:r>
      <w:r w:rsidR="00C21D18" w:rsidRPr="00C21D18">
        <w:rPr>
          <w:rFonts w:cs="Arial"/>
          <w:b/>
          <w:sz w:val="20"/>
          <w:szCs w:val="20"/>
        </w:rPr>
        <w:t xml:space="preserve"> vrátnice</w:t>
      </w:r>
    </w:p>
    <w:p w14:paraId="29AF47A1" w14:textId="0F89C46C" w:rsidR="00C21D18" w:rsidRPr="00C21D18" w:rsidRDefault="00C21D18" w:rsidP="00D36927">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uzavřený prostor, dveře prosklené konstrukce opatřeno kováním R1 a R3, uzamčené bezpečnostním</w:t>
      </w:r>
      <w:r w:rsidR="00D36927">
        <w:rPr>
          <w:rFonts w:cs="Arial"/>
          <w:sz w:val="20"/>
          <w:szCs w:val="20"/>
        </w:rPr>
        <w:t xml:space="preserve"> </w:t>
      </w:r>
      <w:r w:rsidRPr="00C21D18">
        <w:rPr>
          <w:rFonts w:cs="Arial"/>
          <w:sz w:val="20"/>
          <w:szCs w:val="20"/>
        </w:rPr>
        <w:t>uzamykacím systémem a přídavným bezpečnostním zámkem,</w:t>
      </w:r>
    </w:p>
    <w:p w14:paraId="445BB165" w14:textId="6D7CE698" w:rsidR="00C21D18" w:rsidRPr="00C21D18" w:rsidRDefault="00C21D18" w:rsidP="00D36927">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uložené v trezoru Triton BT I</w:t>
      </w:r>
      <w:r w:rsidR="00DB45E2">
        <w:rPr>
          <w:rFonts w:cs="Arial"/>
          <w:sz w:val="20"/>
          <w:szCs w:val="20"/>
        </w:rPr>
        <w:t>.</w:t>
      </w:r>
    </w:p>
    <w:p w14:paraId="0CB15B97" w14:textId="3318DBC6" w:rsidR="00C21D18" w:rsidRPr="00C21D18" w:rsidRDefault="00C21D18" w:rsidP="00D36927">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prosklené části vrátnice opatřené bezpečnostní fólií</w:t>
      </w:r>
    </w:p>
    <w:p w14:paraId="0B1378EA" w14:textId="58D0A540" w:rsidR="00C21D18" w:rsidRPr="00C21D18" w:rsidRDefault="00C21D18" w:rsidP="00D36927">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nepřetržitá služba na vrátnici budovy</w:t>
      </w:r>
    </w:p>
    <w:p w14:paraId="0512604F" w14:textId="5D7C77CF" w:rsidR="00C21D18" w:rsidRPr="00C21D18" w:rsidRDefault="00D36927" w:rsidP="002C39FE">
      <w:pPr>
        <w:pStyle w:val="Odstavecseseznamem"/>
        <w:numPr>
          <w:ilvl w:val="0"/>
          <w:numId w:val="29"/>
        </w:numPr>
        <w:spacing w:before="120" w:after="60" w:line="280" w:lineRule="atLeast"/>
        <w:ind w:left="567"/>
        <w:contextualSpacing w:val="0"/>
        <w:rPr>
          <w:rFonts w:cs="Arial"/>
          <w:b/>
          <w:sz w:val="20"/>
          <w:szCs w:val="20"/>
        </w:rPr>
      </w:pPr>
      <w:r w:rsidRPr="00FE4B25">
        <w:rPr>
          <w:rFonts w:cs="Arial"/>
          <w:b/>
          <w:sz w:val="20"/>
          <w:szCs w:val="20"/>
        </w:rPr>
        <w:t xml:space="preserve">do limitu plnění </w:t>
      </w:r>
      <w:r w:rsidRPr="00C21D18">
        <w:rPr>
          <w:rFonts w:cs="Arial"/>
          <w:b/>
          <w:sz w:val="20"/>
          <w:szCs w:val="20"/>
        </w:rPr>
        <w:t>15</w:t>
      </w:r>
      <w:r>
        <w:rPr>
          <w:rFonts w:cs="Arial"/>
          <w:b/>
          <w:sz w:val="20"/>
          <w:szCs w:val="20"/>
        </w:rPr>
        <w:t> </w:t>
      </w:r>
      <w:r w:rsidRPr="00C21D18">
        <w:rPr>
          <w:rFonts w:cs="Arial"/>
          <w:b/>
          <w:sz w:val="20"/>
          <w:szCs w:val="20"/>
        </w:rPr>
        <w:t>000</w:t>
      </w:r>
      <w:r>
        <w:rPr>
          <w:rFonts w:cs="Arial"/>
          <w:b/>
          <w:sz w:val="20"/>
          <w:szCs w:val="20"/>
        </w:rPr>
        <w:t xml:space="preserve"> Kč, adresa: </w:t>
      </w:r>
      <w:r w:rsidR="00C21D18" w:rsidRPr="00C21D18">
        <w:rPr>
          <w:rFonts w:cs="Arial"/>
          <w:b/>
          <w:sz w:val="20"/>
          <w:szCs w:val="20"/>
        </w:rPr>
        <w:t>Olomouc, Šmeralova 12, koleje gen. Svobody – vrátnice</w:t>
      </w:r>
    </w:p>
    <w:p w14:paraId="4411CEA8" w14:textId="08798E99" w:rsidR="00C21D18" w:rsidRPr="00C21D18" w:rsidRDefault="00C21D18" w:rsidP="00D36927">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uzavřený prostor, dveře prosklené konstrukce opatřeno kováním R1 a R3, řádně uzamčené bezpečnostním</w:t>
      </w:r>
      <w:r w:rsidR="00D36927" w:rsidRPr="00D36927">
        <w:rPr>
          <w:rFonts w:cs="Arial"/>
          <w:sz w:val="20"/>
          <w:szCs w:val="20"/>
        </w:rPr>
        <w:t xml:space="preserve"> </w:t>
      </w:r>
      <w:r w:rsidRPr="00C21D18">
        <w:rPr>
          <w:rFonts w:cs="Arial"/>
          <w:sz w:val="20"/>
          <w:szCs w:val="20"/>
        </w:rPr>
        <w:t>uzamykacím systémem</w:t>
      </w:r>
    </w:p>
    <w:p w14:paraId="7A31E45C" w14:textId="18561CDB" w:rsidR="00C21D18" w:rsidRPr="00C21D18" w:rsidRDefault="00C21D18" w:rsidP="00D36927">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uložené v uzamykatelné zásuvce</w:t>
      </w:r>
    </w:p>
    <w:p w14:paraId="67129BC0" w14:textId="0A47365F" w:rsidR="00C21D18" w:rsidRPr="00C21D18" w:rsidRDefault="00C21D18" w:rsidP="00D36927">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prosklené části vrátnice opatřené bezpečnostní fólií</w:t>
      </w:r>
    </w:p>
    <w:p w14:paraId="4A751A7D" w14:textId="201C91D5" w:rsidR="00C21D18" w:rsidRDefault="00C21D18" w:rsidP="00D36927">
      <w:pPr>
        <w:pStyle w:val="Odstavecseseznamem"/>
        <w:numPr>
          <w:ilvl w:val="0"/>
          <w:numId w:val="27"/>
        </w:numPr>
        <w:spacing w:before="60" w:line="280" w:lineRule="atLeast"/>
        <w:ind w:left="850" w:hanging="357"/>
        <w:contextualSpacing w:val="0"/>
        <w:rPr>
          <w:rFonts w:cs="Arial"/>
          <w:sz w:val="20"/>
          <w:szCs w:val="20"/>
        </w:rPr>
      </w:pPr>
      <w:r w:rsidRPr="00C21D18">
        <w:rPr>
          <w:rFonts w:cs="Arial"/>
          <w:sz w:val="20"/>
          <w:szCs w:val="20"/>
        </w:rPr>
        <w:t>nepřetržitá služba na vrátnici budovy</w:t>
      </w:r>
    </w:p>
    <w:p w14:paraId="30D3E1B1" w14:textId="0347135D" w:rsidR="00D36927" w:rsidRPr="00D36927" w:rsidRDefault="00D36927" w:rsidP="002C39FE">
      <w:pPr>
        <w:pStyle w:val="Odstavecseseznamem"/>
        <w:numPr>
          <w:ilvl w:val="0"/>
          <w:numId w:val="29"/>
        </w:numPr>
        <w:spacing w:before="120" w:after="60" w:line="280" w:lineRule="atLeast"/>
        <w:ind w:left="567"/>
        <w:contextualSpacing w:val="0"/>
        <w:rPr>
          <w:rFonts w:cs="Arial"/>
          <w:b/>
          <w:bCs/>
          <w:sz w:val="20"/>
          <w:szCs w:val="20"/>
        </w:rPr>
      </w:pPr>
      <w:r w:rsidRPr="00FE4B25">
        <w:rPr>
          <w:rFonts w:cs="Arial"/>
          <w:b/>
          <w:sz w:val="20"/>
          <w:szCs w:val="20"/>
        </w:rPr>
        <w:t xml:space="preserve">do limitu plnění </w:t>
      </w:r>
      <w:r w:rsidRPr="00C21D18">
        <w:rPr>
          <w:rFonts w:cs="Arial"/>
          <w:b/>
          <w:sz w:val="20"/>
          <w:szCs w:val="20"/>
        </w:rPr>
        <w:t>500</w:t>
      </w:r>
      <w:r>
        <w:rPr>
          <w:rFonts w:cs="Arial"/>
          <w:b/>
          <w:sz w:val="20"/>
          <w:szCs w:val="20"/>
        </w:rPr>
        <w:t> </w:t>
      </w:r>
      <w:r w:rsidRPr="00C21D18">
        <w:rPr>
          <w:rFonts w:cs="Arial"/>
          <w:b/>
          <w:sz w:val="20"/>
          <w:szCs w:val="20"/>
        </w:rPr>
        <w:t>000</w:t>
      </w:r>
      <w:r>
        <w:rPr>
          <w:rFonts w:cs="Arial"/>
          <w:b/>
          <w:sz w:val="20"/>
          <w:szCs w:val="20"/>
        </w:rPr>
        <w:t xml:space="preserve"> Kč, adresa:</w:t>
      </w:r>
      <w:r w:rsidRPr="00D36927">
        <w:rPr>
          <w:rFonts w:cs="Arial"/>
          <w:b/>
          <w:bCs/>
          <w:sz w:val="20"/>
          <w:szCs w:val="20"/>
        </w:rPr>
        <w:t xml:space="preserve"> Olomouc, Šmeralova 12, EÚ </w:t>
      </w:r>
      <w:r>
        <w:rPr>
          <w:rFonts w:cs="Arial"/>
          <w:b/>
          <w:bCs/>
          <w:sz w:val="20"/>
          <w:szCs w:val="20"/>
        </w:rPr>
        <w:t>–</w:t>
      </w:r>
      <w:r w:rsidRPr="00D36927">
        <w:rPr>
          <w:rFonts w:cs="Arial"/>
          <w:b/>
          <w:bCs/>
          <w:sz w:val="20"/>
          <w:szCs w:val="20"/>
        </w:rPr>
        <w:t xml:space="preserve"> pokladna</w:t>
      </w:r>
    </w:p>
    <w:p w14:paraId="4B860071" w14:textId="7154E5B0" w:rsidR="00D36927" w:rsidRPr="00D36927" w:rsidRDefault="00D36927" w:rsidP="00D36927">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uzavřený prostor, dveře plné konstrukce uzamčené bezpečnostním uzamykacím systémem</w:t>
      </w:r>
    </w:p>
    <w:p w14:paraId="6ECBD147" w14:textId="2D4C91AA" w:rsidR="00D36927" w:rsidRPr="00D36927" w:rsidRDefault="00D36927" w:rsidP="00D36927">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uložené v trezoru skříňovém BT I</w:t>
      </w:r>
      <w:r w:rsidR="00DB45E2">
        <w:rPr>
          <w:rFonts w:cs="Arial"/>
          <w:sz w:val="20"/>
          <w:szCs w:val="20"/>
        </w:rPr>
        <w:t>.</w:t>
      </w:r>
      <w:r w:rsidRPr="00D36927">
        <w:rPr>
          <w:rFonts w:cs="Arial"/>
          <w:sz w:val="20"/>
          <w:szCs w:val="20"/>
        </w:rPr>
        <w:t xml:space="preserve"> (200kg)</w:t>
      </w:r>
    </w:p>
    <w:p w14:paraId="1C289605" w14:textId="5D517C9C" w:rsidR="00D36927" w:rsidRPr="00D36927" w:rsidRDefault="00D36927" w:rsidP="00D36927">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prosklené části opatřené bezpečnostní fólií</w:t>
      </w:r>
    </w:p>
    <w:p w14:paraId="6A6F1E81" w14:textId="721A9820" w:rsidR="00D36927" w:rsidRPr="00D36927" w:rsidRDefault="00D36927" w:rsidP="00302485">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instalována funkční EZS (elektronická zabezpečovací signalizace), signál napojen na pult centrální ochrany</w:t>
      </w:r>
      <w:r>
        <w:rPr>
          <w:rFonts w:cs="Arial"/>
          <w:sz w:val="20"/>
          <w:szCs w:val="20"/>
        </w:rPr>
        <w:t xml:space="preserve"> </w:t>
      </w:r>
      <w:r w:rsidRPr="00D36927">
        <w:rPr>
          <w:rFonts w:cs="Arial"/>
          <w:sz w:val="20"/>
          <w:szCs w:val="20"/>
        </w:rPr>
        <w:t>bezpečnostní agentury</w:t>
      </w:r>
    </w:p>
    <w:p w14:paraId="43F219F3" w14:textId="3750300A" w:rsidR="00D36927" w:rsidRPr="00D36927" w:rsidRDefault="00D36927" w:rsidP="002C39FE">
      <w:pPr>
        <w:pStyle w:val="Odstavecseseznamem"/>
        <w:numPr>
          <w:ilvl w:val="0"/>
          <w:numId w:val="29"/>
        </w:numPr>
        <w:spacing w:before="120" w:after="60" w:line="280" w:lineRule="atLeast"/>
        <w:ind w:left="567"/>
        <w:contextualSpacing w:val="0"/>
        <w:rPr>
          <w:rFonts w:cs="Arial"/>
          <w:b/>
          <w:bCs/>
          <w:sz w:val="20"/>
          <w:szCs w:val="20"/>
        </w:rPr>
      </w:pPr>
      <w:r w:rsidRPr="00D36927">
        <w:rPr>
          <w:rFonts w:cs="Arial"/>
          <w:b/>
          <w:bCs/>
          <w:sz w:val="20"/>
          <w:szCs w:val="20"/>
        </w:rPr>
        <w:t xml:space="preserve">do limitu plnění </w:t>
      </w:r>
      <w:r w:rsidRPr="00C21D18">
        <w:rPr>
          <w:rFonts w:cs="Arial"/>
          <w:b/>
          <w:bCs/>
          <w:sz w:val="20"/>
          <w:szCs w:val="20"/>
        </w:rPr>
        <w:t>500</w:t>
      </w:r>
      <w:r w:rsidRPr="00D36927">
        <w:rPr>
          <w:rFonts w:cs="Arial"/>
          <w:b/>
          <w:bCs/>
          <w:sz w:val="20"/>
          <w:szCs w:val="20"/>
        </w:rPr>
        <w:t> </w:t>
      </w:r>
      <w:r w:rsidRPr="00C21D18">
        <w:rPr>
          <w:rFonts w:cs="Arial"/>
          <w:b/>
          <w:bCs/>
          <w:sz w:val="20"/>
          <w:szCs w:val="20"/>
        </w:rPr>
        <w:t>000</w:t>
      </w:r>
      <w:r w:rsidRPr="00D36927">
        <w:rPr>
          <w:rFonts w:cs="Arial"/>
          <w:b/>
          <w:bCs/>
          <w:sz w:val="20"/>
          <w:szCs w:val="20"/>
        </w:rPr>
        <w:t xml:space="preserve"> Kč, adresa: Olomouc, koleje Šmeralova 6</w:t>
      </w:r>
    </w:p>
    <w:p w14:paraId="314E3150" w14:textId="6CB0F12A" w:rsidR="00D36927" w:rsidRPr="00D36927" w:rsidRDefault="00D36927" w:rsidP="00C32564">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 xml:space="preserve">uzavřený prostor, místnost, kde se nachází ukotvený trezor je průchozí – dveře z vrátnice </w:t>
      </w:r>
      <w:r w:rsidRPr="00D36927">
        <w:rPr>
          <w:rFonts w:cs="Arial"/>
          <w:sz w:val="20"/>
          <w:szCs w:val="20"/>
        </w:rPr>
        <w:br/>
        <w:t xml:space="preserve">a dveře z chodby jsou plné, uzamčené bezpečnostním uzamykacím systémem a přídavným bezpečnostním zámkem, dveře od kanceláře </w:t>
      </w:r>
      <w:r>
        <w:rPr>
          <w:rFonts w:cs="Arial"/>
          <w:sz w:val="20"/>
          <w:szCs w:val="20"/>
        </w:rPr>
        <w:t xml:space="preserve">– </w:t>
      </w:r>
      <w:r w:rsidRPr="00D36927">
        <w:rPr>
          <w:rFonts w:cs="Arial"/>
          <w:sz w:val="20"/>
          <w:szCs w:val="20"/>
        </w:rPr>
        <w:t>zábrana</w:t>
      </w:r>
      <w:r>
        <w:rPr>
          <w:rFonts w:cs="Arial"/>
          <w:sz w:val="20"/>
          <w:szCs w:val="20"/>
        </w:rPr>
        <w:t xml:space="preserve"> </w:t>
      </w:r>
      <w:r w:rsidRPr="00D36927">
        <w:rPr>
          <w:rFonts w:cs="Arial"/>
          <w:sz w:val="20"/>
          <w:szCs w:val="20"/>
        </w:rPr>
        <w:t>proti vysazení, uzamčené bezpečnostním zámkem</w:t>
      </w:r>
    </w:p>
    <w:p w14:paraId="1FC6857C" w14:textId="69188346"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prosklené části vrátnice opatřené bezpečnostní fólií</w:t>
      </w:r>
    </w:p>
    <w:p w14:paraId="1DFB9B19" w14:textId="1310FD95"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nepřetržitá služba na vrátnici budovy</w:t>
      </w:r>
    </w:p>
    <w:p w14:paraId="5879D8A2" w14:textId="28C0FB2C" w:rsidR="00D36927" w:rsidRPr="00D36927" w:rsidRDefault="005B154A" w:rsidP="002C39FE">
      <w:pPr>
        <w:pStyle w:val="Odstavecseseznamem"/>
        <w:numPr>
          <w:ilvl w:val="0"/>
          <w:numId w:val="29"/>
        </w:numPr>
        <w:spacing w:before="120" w:after="60" w:line="280" w:lineRule="atLeast"/>
        <w:ind w:left="567"/>
        <w:contextualSpacing w:val="0"/>
        <w:rPr>
          <w:rFonts w:cs="Arial"/>
          <w:b/>
          <w:bCs/>
          <w:sz w:val="20"/>
          <w:szCs w:val="20"/>
        </w:rPr>
      </w:pPr>
      <w:r w:rsidRPr="00FE4B25">
        <w:rPr>
          <w:rFonts w:cs="Arial"/>
          <w:b/>
          <w:sz w:val="20"/>
          <w:szCs w:val="20"/>
        </w:rPr>
        <w:t xml:space="preserve">do limitu plnění </w:t>
      </w:r>
      <w:r w:rsidRPr="00C21D18">
        <w:rPr>
          <w:rFonts w:cs="Arial"/>
          <w:b/>
          <w:sz w:val="20"/>
          <w:szCs w:val="20"/>
        </w:rPr>
        <w:t>15</w:t>
      </w:r>
      <w:r>
        <w:rPr>
          <w:rFonts w:cs="Arial"/>
          <w:b/>
          <w:sz w:val="20"/>
          <w:szCs w:val="20"/>
        </w:rPr>
        <w:t> </w:t>
      </w:r>
      <w:r w:rsidRPr="00C21D18">
        <w:rPr>
          <w:rFonts w:cs="Arial"/>
          <w:b/>
          <w:sz w:val="20"/>
          <w:szCs w:val="20"/>
        </w:rPr>
        <w:t>000</w:t>
      </w:r>
      <w:r>
        <w:rPr>
          <w:rFonts w:cs="Arial"/>
          <w:b/>
          <w:sz w:val="20"/>
          <w:szCs w:val="20"/>
        </w:rPr>
        <w:t xml:space="preserve"> Kč, adresa:</w:t>
      </w:r>
      <w:r w:rsidR="00D36927" w:rsidRPr="00D36927">
        <w:rPr>
          <w:rFonts w:cs="Arial"/>
          <w:b/>
          <w:bCs/>
          <w:sz w:val="20"/>
          <w:szCs w:val="20"/>
        </w:rPr>
        <w:t xml:space="preserve"> Olomouc, koleje Šmeralova 6 </w:t>
      </w:r>
      <w:r>
        <w:rPr>
          <w:rFonts w:cs="Arial"/>
          <w:b/>
          <w:bCs/>
          <w:sz w:val="20"/>
          <w:szCs w:val="20"/>
        </w:rPr>
        <w:t>–</w:t>
      </w:r>
      <w:r w:rsidR="00D36927" w:rsidRPr="00D36927">
        <w:rPr>
          <w:rFonts w:cs="Arial"/>
          <w:b/>
          <w:bCs/>
          <w:sz w:val="20"/>
          <w:szCs w:val="20"/>
        </w:rPr>
        <w:t xml:space="preserve"> vrátnice</w:t>
      </w:r>
    </w:p>
    <w:p w14:paraId="5578B4CA" w14:textId="4FA95C00"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uzavřený prostor, dveře prosklené konstrukce, řádně uzamčené bezpečnostním uzamykacím systémem</w:t>
      </w:r>
    </w:p>
    <w:p w14:paraId="12BC7F7A" w14:textId="5D6025FD"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cennosti jsou uloženy v uzamykatelné zásuvce</w:t>
      </w:r>
    </w:p>
    <w:p w14:paraId="647339D8" w14:textId="10B62376"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prosklené části vrátnice opatřené bezpečnostní fólií</w:t>
      </w:r>
    </w:p>
    <w:p w14:paraId="337EFB18" w14:textId="66C072EB"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nepřetržitá služba na vrátnici budovy</w:t>
      </w:r>
    </w:p>
    <w:p w14:paraId="2973A994" w14:textId="6B10A397" w:rsidR="00D36927" w:rsidRPr="00D36927" w:rsidRDefault="005B154A" w:rsidP="002C39FE">
      <w:pPr>
        <w:pStyle w:val="Odstavecseseznamem"/>
        <w:numPr>
          <w:ilvl w:val="0"/>
          <w:numId w:val="29"/>
        </w:numPr>
        <w:spacing w:before="120" w:after="60" w:line="280" w:lineRule="atLeast"/>
        <w:ind w:left="567"/>
        <w:contextualSpacing w:val="0"/>
        <w:rPr>
          <w:rFonts w:cs="Arial"/>
          <w:b/>
          <w:bCs/>
          <w:sz w:val="20"/>
          <w:szCs w:val="20"/>
        </w:rPr>
      </w:pPr>
      <w:r w:rsidRPr="00D36927">
        <w:rPr>
          <w:rFonts w:cs="Arial"/>
          <w:b/>
          <w:bCs/>
          <w:sz w:val="20"/>
          <w:szCs w:val="20"/>
        </w:rPr>
        <w:t xml:space="preserve">do limitu plnění </w:t>
      </w:r>
      <w:r w:rsidRPr="00C21D18">
        <w:rPr>
          <w:rFonts w:cs="Arial"/>
          <w:b/>
          <w:bCs/>
          <w:sz w:val="20"/>
          <w:szCs w:val="20"/>
        </w:rPr>
        <w:t>500</w:t>
      </w:r>
      <w:r w:rsidRPr="00D36927">
        <w:rPr>
          <w:rFonts w:cs="Arial"/>
          <w:b/>
          <w:bCs/>
          <w:sz w:val="20"/>
          <w:szCs w:val="20"/>
        </w:rPr>
        <w:t> </w:t>
      </w:r>
      <w:r w:rsidRPr="00C21D18">
        <w:rPr>
          <w:rFonts w:cs="Arial"/>
          <w:b/>
          <w:bCs/>
          <w:sz w:val="20"/>
          <w:szCs w:val="20"/>
        </w:rPr>
        <w:t>000</w:t>
      </w:r>
      <w:r w:rsidRPr="00D36927">
        <w:rPr>
          <w:rFonts w:cs="Arial"/>
          <w:b/>
          <w:bCs/>
          <w:sz w:val="20"/>
          <w:szCs w:val="20"/>
        </w:rPr>
        <w:t xml:space="preserve"> Kč, adresa: </w:t>
      </w:r>
      <w:r w:rsidR="00D36927" w:rsidRPr="00D36927">
        <w:rPr>
          <w:rFonts w:cs="Arial"/>
          <w:b/>
          <w:bCs/>
          <w:sz w:val="20"/>
          <w:szCs w:val="20"/>
        </w:rPr>
        <w:t>Olomouc, koleje Šmeralova 8, koleje B.Václavka</w:t>
      </w:r>
    </w:p>
    <w:p w14:paraId="2C043B74" w14:textId="60FC95B5" w:rsidR="00D36927" w:rsidRPr="00D36927" w:rsidRDefault="00D36927" w:rsidP="00011FED">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uzavřený prostor, dveře plné konstrukce uzamčené bezpečnostním uzamykacím systémem a přídavným</w:t>
      </w:r>
      <w:r w:rsidR="005B154A">
        <w:rPr>
          <w:rFonts w:cs="Arial"/>
          <w:sz w:val="20"/>
          <w:szCs w:val="20"/>
        </w:rPr>
        <w:t xml:space="preserve"> </w:t>
      </w:r>
      <w:r w:rsidRPr="00D36927">
        <w:rPr>
          <w:rFonts w:cs="Arial"/>
          <w:sz w:val="20"/>
          <w:szCs w:val="20"/>
        </w:rPr>
        <w:t>bezpečnostním zámkem, opatřeno kováním R1 a R3</w:t>
      </w:r>
    </w:p>
    <w:p w14:paraId="3969A117" w14:textId="412115C2"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uložené v trezoru Triton BT I</w:t>
      </w:r>
      <w:r w:rsidR="00DB45E2">
        <w:rPr>
          <w:rFonts w:cs="Arial"/>
          <w:sz w:val="20"/>
          <w:szCs w:val="20"/>
        </w:rPr>
        <w:t>.</w:t>
      </w:r>
    </w:p>
    <w:p w14:paraId="2455C1EE" w14:textId="2B6748DF"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prosklené části opatřené bezpečnostní fólií</w:t>
      </w:r>
    </w:p>
    <w:p w14:paraId="08FD8162" w14:textId="1FFD85AE"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výklenek 120</w:t>
      </w:r>
      <w:r w:rsidR="005B154A">
        <w:rPr>
          <w:rFonts w:cs="Arial"/>
          <w:sz w:val="20"/>
          <w:szCs w:val="20"/>
        </w:rPr>
        <w:t xml:space="preserve"> </w:t>
      </w:r>
      <w:r w:rsidRPr="00D36927">
        <w:rPr>
          <w:rFonts w:cs="Arial"/>
          <w:sz w:val="20"/>
          <w:szCs w:val="20"/>
        </w:rPr>
        <w:t>cm + 30 cm je osazen drátěným sklem</w:t>
      </w:r>
    </w:p>
    <w:p w14:paraId="00594FBE" w14:textId="4FB07890" w:rsid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nepřetržitá služba na vrátnici budovy</w:t>
      </w:r>
    </w:p>
    <w:p w14:paraId="2FF93E0E" w14:textId="77777777" w:rsidR="00D92ACB" w:rsidRDefault="00D92ACB" w:rsidP="00D92ACB">
      <w:pPr>
        <w:spacing w:before="60" w:line="280" w:lineRule="atLeast"/>
        <w:rPr>
          <w:rFonts w:cs="Arial"/>
          <w:sz w:val="20"/>
          <w:szCs w:val="20"/>
        </w:rPr>
      </w:pPr>
    </w:p>
    <w:p w14:paraId="6E591821" w14:textId="77777777" w:rsidR="00D92ACB" w:rsidRPr="00D92ACB" w:rsidRDefault="00D92ACB" w:rsidP="00D92ACB">
      <w:pPr>
        <w:spacing w:before="60" w:line="280" w:lineRule="atLeast"/>
        <w:rPr>
          <w:rFonts w:cs="Arial"/>
          <w:sz w:val="20"/>
          <w:szCs w:val="20"/>
        </w:rPr>
      </w:pPr>
    </w:p>
    <w:p w14:paraId="7D54D5E8" w14:textId="6DBDD685" w:rsidR="00D36927" w:rsidRPr="00D36927" w:rsidRDefault="005B154A" w:rsidP="00D92ACB">
      <w:pPr>
        <w:pStyle w:val="Odstavecseseznamem"/>
        <w:numPr>
          <w:ilvl w:val="0"/>
          <w:numId w:val="29"/>
        </w:numPr>
        <w:spacing w:after="60" w:line="280" w:lineRule="atLeast"/>
        <w:ind w:left="567" w:hanging="357"/>
        <w:contextualSpacing w:val="0"/>
        <w:rPr>
          <w:rFonts w:cs="Arial"/>
          <w:b/>
          <w:bCs/>
          <w:sz w:val="20"/>
          <w:szCs w:val="20"/>
        </w:rPr>
      </w:pPr>
      <w:r w:rsidRPr="00FE4B25">
        <w:rPr>
          <w:rFonts w:cs="Arial"/>
          <w:b/>
          <w:sz w:val="20"/>
          <w:szCs w:val="20"/>
        </w:rPr>
        <w:t xml:space="preserve">do limitu plnění </w:t>
      </w:r>
      <w:r w:rsidRPr="00C21D18">
        <w:rPr>
          <w:rFonts w:cs="Arial"/>
          <w:b/>
          <w:sz w:val="20"/>
          <w:szCs w:val="20"/>
        </w:rPr>
        <w:t>15</w:t>
      </w:r>
      <w:r>
        <w:rPr>
          <w:rFonts w:cs="Arial"/>
          <w:b/>
          <w:sz w:val="20"/>
          <w:szCs w:val="20"/>
        </w:rPr>
        <w:t> </w:t>
      </w:r>
      <w:r w:rsidRPr="00C21D18">
        <w:rPr>
          <w:rFonts w:cs="Arial"/>
          <w:b/>
          <w:sz w:val="20"/>
          <w:szCs w:val="20"/>
        </w:rPr>
        <w:t>000</w:t>
      </w:r>
      <w:r>
        <w:rPr>
          <w:rFonts w:cs="Arial"/>
          <w:b/>
          <w:sz w:val="20"/>
          <w:szCs w:val="20"/>
        </w:rPr>
        <w:t xml:space="preserve"> Kč, adresa:</w:t>
      </w:r>
      <w:r w:rsidRPr="00D36927">
        <w:rPr>
          <w:rFonts w:cs="Arial"/>
          <w:b/>
          <w:bCs/>
          <w:sz w:val="20"/>
          <w:szCs w:val="20"/>
        </w:rPr>
        <w:t xml:space="preserve"> </w:t>
      </w:r>
      <w:r w:rsidR="00D36927" w:rsidRPr="00D36927">
        <w:rPr>
          <w:rFonts w:cs="Arial"/>
          <w:b/>
          <w:bCs/>
          <w:sz w:val="20"/>
          <w:szCs w:val="20"/>
        </w:rPr>
        <w:t xml:space="preserve">Olomouc, koleje Šmeralova 8, koleje B.Václavka </w:t>
      </w:r>
      <w:r>
        <w:rPr>
          <w:rFonts w:cs="Arial"/>
          <w:b/>
          <w:bCs/>
          <w:sz w:val="20"/>
          <w:szCs w:val="20"/>
        </w:rPr>
        <w:t>–</w:t>
      </w:r>
      <w:r w:rsidR="00D36927" w:rsidRPr="00D36927">
        <w:rPr>
          <w:rFonts w:cs="Arial"/>
          <w:b/>
          <w:bCs/>
          <w:sz w:val="20"/>
          <w:szCs w:val="20"/>
        </w:rPr>
        <w:t xml:space="preserve"> vrátnice</w:t>
      </w:r>
    </w:p>
    <w:p w14:paraId="3A9F13BA" w14:textId="3581214D"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uzavřený prostor, dveře prosklené konstrukce, řádně uzamčené bezpečnostním uzamykacím systémem</w:t>
      </w:r>
    </w:p>
    <w:p w14:paraId="03C4A4C2" w14:textId="1AD745FC"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uložené v uzamykatelné zásuvce</w:t>
      </w:r>
    </w:p>
    <w:p w14:paraId="29F16651" w14:textId="781F8789"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prosklené části vrátnice opatřené bezpečnostní fólií</w:t>
      </w:r>
    </w:p>
    <w:p w14:paraId="2CEF01FA" w14:textId="3FA579EA"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nepřetržitá služba na vrátnici budovy</w:t>
      </w:r>
    </w:p>
    <w:p w14:paraId="682B9169" w14:textId="37A28855" w:rsidR="00D36927" w:rsidRPr="00D36927" w:rsidRDefault="005B154A" w:rsidP="00D92ACB">
      <w:pPr>
        <w:pStyle w:val="Odstavecseseznamem"/>
        <w:numPr>
          <w:ilvl w:val="0"/>
          <w:numId w:val="29"/>
        </w:numPr>
        <w:spacing w:before="120" w:after="60" w:line="280" w:lineRule="atLeast"/>
        <w:ind w:left="567"/>
        <w:contextualSpacing w:val="0"/>
        <w:rPr>
          <w:rFonts w:cs="Arial"/>
          <w:b/>
          <w:bCs/>
          <w:sz w:val="20"/>
          <w:szCs w:val="20"/>
        </w:rPr>
      </w:pPr>
      <w:r w:rsidRPr="00D36927">
        <w:rPr>
          <w:rFonts w:cs="Arial"/>
          <w:b/>
          <w:bCs/>
          <w:sz w:val="20"/>
          <w:szCs w:val="20"/>
        </w:rPr>
        <w:t xml:space="preserve">do </w:t>
      </w:r>
      <w:r w:rsidRPr="00D92ACB">
        <w:rPr>
          <w:rFonts w:cs="Arial"/>
          <w:b/>
          <w:sz w:val="20"/>
          <w:szCs w:val="20"/>
        </w:rPr>
        <w:t>limitu</w:t>
      </w:r>
      <w:r w:rsidRPr="00D36927">
        <w:rPr>
          <w:rFonts w:cs="Arial"/>
          <w:b/>
          <w:bCs/>
          <w:sz w:val="20"/>
          <w:szCs w:val="20"/>
        </w:rPr>
        <w:t xml:space="preserve"> plnění </w:t>
      </w:r>
      <w:r w:rsidRPr="00C21D18">
        <w:rPr>
          <w:rFonts w:cs="Arial"/>
          <w:b/>
          <w:bCs/>
          <w:sz w:val="20"/>
          <w:szCs w:val="20"/>
        </w:rPr>
        <w:t>500</w:t>
      </w:r>
      <w:r w:rsidRPr="00D36927">
        <w:rPr>
          <w:rFonts w:cs="Arial"/>
          <w:b/>
          <w:bCs/>
          <w:sz w:val="20"/>
          <w:szCs w:val="20"/>
        </w:rPr>
        <w:t> </w:t>
      </w:r>
      <w:r w:rsidRPr="00C21D18">
        <w:rPr>
          <w:rFonts w:cs="Arial"/>
          <w:b/>
          <w:bCs/>
          <w:sz w:val="20"/>
          <w:szCs w:val="20"/>
        </w:rPr>
        <w:t>000</w:t>
      </w:r>
      <w:r w:rsidRPr="00D36927">
        <w:rPr>
          <w:rFonts w:cs="Arial"/>
          <w:b/>
          <w:bCs/>
          <w:sz w:val="20"/>
          <w:szCs w:val="20"/>
        </w:rPr>
        <w:t xml:space="preserve"> Kč, adresa: </w:t>
      </w:r>
      <w:r w:rsidR="00D36927" w:rsidRPr="00D36927">
        <w:rPr>
          <w:rFonts w:cs="Arial"/>
          <w:b/>
          <w:bCs/>
          <w:sz w:val="20"/>
          <w:szCs w:val="20"/>
        </w:rPr>
        <w:t>Olomouc, koleje Neředín, tř.U Letiště 786</w:t>
      </w:r>
    </w:p>
    <w:p w14:paraId="57BABAC9" w14:textId="6931ABE7" w:rsidR="00D36927" w:rsidRPr="00D36927" w:rsidRDefault="00D36927" w:rsidP="001C7F7D">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uzavřený prostor, dveře plné konstrukce opatřeno kováním R1 a R3 uzamčené bezpečnostním uzamykacím</w:t>
      </w:r>
      <w:r w:rsidR="005B154A">
        <w:rPr>
          <w:rFonts w:cs="Arial"/>
          <w:sz w:val="20"/>
          <w:szCs w:val="20"/>
        </w:rPr>
        <w:t xml:space="preserve"> </w:t>
      </w:r>
      <w:r w:rsidRPr="00D36927">
        <w:rPr>
          <w:rFonts w:cs="Arial"/>
          <w:sz w:val="20"/>
          <w:szCs w:val="20"/>
        </w:rPr>
        <w:t>systémem a přídavným bezpečnostním zámkem</w:t>
      </w:r>
    </w:p>
    <w:p w14:paraId="319C8B76" w14:textId="33FE62CD"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uložené v trezoru Triton BT I</w:t>
      </w:r>
      <w:r w:rsidR="00DB45E2">
        <w:rPr>
          <w:rFonts w:cs="Arial"/>
          <w:sz w:val="20"/>
          <w:szCs w:val="20"/>
        </w:rPr>
        <w:t>.</w:t>
      </w:r>
    </w:p>
    <w:p w14:paraId="5D9EEA8F" w14:textId="05EB99F4"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nepřetržitá služba na vrátnici budovy</w:t>
      </w:r>
    </w:p>
    <w:p w14:paraId="34994EBC" w14:textId="404BAFB8" w:rsidR="00D36927" w:rsidRPr="00D36927" w:rsidRDefault="005B154A" w:rsidP="00D92ACB">
      <w:pPr>
        <w:pStyle w:val="Odstavecseseznamem"/>
        <w:numPr>
          <w:ilvl w:val="0"/>
          <w:numId w:val="29"/>
        </w:numPr>
        <w:spacing w:before="120" w:after="60" w:line="280" w:lineRule="atLeast"/>
        <w:ind w:left="567"/>
        <w:contextualSpacing w:val="0"/>
        <w:rPr>
          <w:rFonts w:cs="Arial"/>
          <w:b/>
          <w:bCs/>
          <w:sz w:val="20"/>
          <w:szCs w:val="20"/>
        </w:rPr>
      </w:pPr>
      <w:r w:rsidRPr="00FE4B25">
        <w:rPr>
          <w:rFonts w:cs="Arial"/>
          <w:b/>
          <w:sz w:val="20"/>
          <w:szCs w:val="20"/>
        </w:rPr>
        <w:t xml:space="preserve">do limitu plnění </w:t>
      </w:r>
      <w:r w:rsidRPr="00C21D18">
        <w:rPr>
          <w:rFonts w:cs="Arial"/>
          <w:b/>
          <w:sz w:val="20"/>
          <w:szCs w:val="20"/>
        </w:rPr>
        <w:t>15</w:t>
      </w:r>
      <w:r>
        <w:rPr>
          <w:rFonts w:cs="Arial"/>
          <w:b/>
          <w:sz w:val="20"/>
          <w:szCs w:val="20"/>
        </w:rPr>
        <w:t> </w:t>
      </w:r>
      <w:r w:rsidRPr="00C21D18">
        <w:rPr>
          <w:rFonts w:cs="Arial"/>
          <w:b/>
          <w:sz w:val="20"/>
          <w:szCs w:val="20"/>
        </w:rPr>
        <w:t>000</w:t>
      </w:r>
      <w:r>
        <w:rPr>
          <w:rFonts w:cs="Arial"/>
          <w:b/>
          <w:sz w:val="20"/>
          <w:szCs w:val="20"/>
        </w:rPr>
        <w:t xml:space="preserve"> Kč, adresa:</w:t>
      </w:r>
      <w:r w:rsidRPr="00D36927">
        <w:rPr>
          <w:rFonts w:cs="Arial"/>
          <w:b/>
          <w:bCs/>
          <w:sz w:val="20"/>
          <w:szCs w:val="20"/>
        </w:rPr>
        <w:t xml:space="preserve"> </w:t>
      </w:r>
      <w:r w:rsidR="00D36927" w:rsidRPr="00D36927">
        <w:rPr>
          <w:rFonts w:cs="Arial"/>
          <w:b/>
          <w:bCs/>
          <w:sz w:val="20"/>
          <w:szCs w:val="20"/>
        </w:rPr>
        <w:t xml:space="preserve">Olomouc, koleje Neředín, tř.U Letiště 786 </w:t>
      </w:r>
      <w:r>
        <w:rPr>
          <w:rFonts w:cs="Arial"/>
          <w:b/>
          <w:bCs/>
          <w:sz w:val="20"/>
          <w:szCs w:val="20"/>
        </w:rPr>
        <w:t>–</w:t>
      </w:r>
      <w:r w:rsidR="00D36927" w:rsidRPr="00D36927">
        <w:rPr>
          <w:rFonts w:cs="Arial"/>
          <w:b/>
          <w:bCs/>
          <w:sz w:val="20"/>
          <w:szCs w:val="20"/>
        </w:rPr>
        <w:t xml:space="preserve"> vrátnice</w:t>
      </w:r>
    </w:p>
    <w:p w14:paraId="786E5384" w14:textId="749E8F58"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uložené v uzamykatelné zásuvce</w:t>
      </w:r>
    </w:p>
    <w:p w14:paraId="3B86EB42" w14:textId="53F12CC5" w:rsidR="00D36927" w:rsidRPr="00D36927" w:rsidRDefault="00D36927" w:rsidP="005B154A">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nepřetržitá služba na vrátnici budovy</w:t>
      </w:r>
    </w:p>
    <w:p w14:paraId="41FC2A01" w14:textId="10F2C8DD" w:rsidR="00D36927" w:rsidRPr="00D36927" w:rsidRDefault="00DB45E2" w:rsidP="00D92ACB">
      <w:pPr>
        <w:pStyle w:val="Odstavecseseznamem"/>
        <w:numPr>
          <w:ilvl w:val="0"/>
          <w:numId w:val="29"/>
        </w:numPr>
        <w:spacing w:before="120" w:after="60" w:line="280" w:lineRule="atLeast"/>
        <w:ind w:left="567"/>
        <w:contextualSpacing w:val="0"/>
        <w:rPr>
          <w:rFonts w:cs="Arial"/>
          <w:b/>
          <w:sz w:val="20"/>
          <w:szCs w:val="20"/>
        </w:rPr>
      </w:pPr>
      <w:r w:rsidRPr="00FE4B25">
        <w:rPr>
          <w:rFonts w:cs="Arial"/>
          <w:b/>
          <w:sz w:val="20"/>
          <w:szCs w:val="20"/>
        </w:rPr>
        <w:t xml:space="preserve">do limitu plnění </w:t>
      </w:r>
      <w:r w:rsidRPr="00C21D18">
        <w:rPr>
          <w:rFonts w:cs="Arial"/>
          <w:b/>
          <w:sz w:val="20"/>
          <w:szCs w:val="20"/>
        </w:rPr>
        <w:t>1</w:t>
      </w:r>
      <w:r>
        <w:rPr>
          <w:rFonts w:cs="Arial"/>
          <w:b/>
          <w:sz w:val="20"/>
          <w:szCs w:val="20"/>
        </w:rPr>
        <w:t>00 </w:t>
      </w:r>
      <w:r w:rsidRPr="00C21D18">
        <w:rPr>
          <w:rFonts w:cs="Arial"/>
          <w:b/>
          <w:sz w:val="20"/>
          <w:szCs w:val="20"/>
        </w:rPr>
        <w:t>000</w:t>
      </w:r>
      <w:r>
        <w:rPr>
          <w:rFonts w:cs="Arial"/>
          <w:b/>
          <w:sz w:val="20"/>
          <w:szCs w:val="20"/>
        </w:rPr>
        <w:t xml:space="preserve"> Kč, adresa:</w:t>
      </w:r>
      <w:r w:rsidRPr="00D36927">
        <w:rPr>
          <w:rFonts w:cs="Arial"/>
          <w:b/>
          <w:bCs/>
          <w:sz w:val="20"/>
          <w:szCs w:val="20"/>
        </w:rPr>
        <w:t xml:space="preserve"> </w:t>
      </w:r>
      <w:r w:rsidR="00D36927" w:rsidRPr="00D36927">
        <w:rPr>
          <w:rFonts w:cs="Arial"/>
          <w:b/>
          <w:sz w:val="20"/>
          <w:szCs w:val="20"/>
        </w:rPr>
        <w:t>Olomouc, menza Neředín, Třída Míru 113</w:t>
      </w:r>
    </w:p>
    <w:p w14:paraId="01E438D7" w14:textId="7F413866" w:rsidR="00D36927" w:rsidRPr="00D36927" w:rsidRDefault="00D36927" w:rsidP="00DB45E2">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uzavřený prostor, dveře plné konstrukce uzamčené bezpečnostním uzamykacím systémem</w:t>
      </w:r>
    </w:p>
    <w:p w14:paraId="6757375F" w14:textId="68ED14C4" w:rsidR="00D36927" w:rsidRPr="00D36927" w:rsidRDefault="00D36927" w:rsidP="00DB45E2">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uložené v trezoru SAF211B instalována funkční EZS (elektronická zabezpečovací signalizace), signál vyveden na</w:t>
      </w:r>
      <w:r w:rsidR="00DB45E2">
        <w:rPr>
          <w:rFonts w:cs="Arial"/>
          <w:sz w:val="20"/>
          <w:szCs w:val="20"/>
        </w:rPr>
        <w:t xml:space="preserve"> </w:t>
      </w:r>
      <w:r w:rsidRPr="00D36927">
        <w:rPr>
          <w:rFonts w:cs="Arial"/>
          <w:sz w:val="20"/>
          <w:szCs w:val="20"/>
        </w:rPr>
        <w:t>recepci</w:t>
      </w:r>
    </w:p>
    <w:p w14:paraId="17F41447" w14:textId="1D786C55" w:rsidR="00D36927" w:rsidRPr="00D36927" w:rsidRDefault="00DB45E2" w:rsidP="00D92ACB">
      <w:pPr>
        <w:pStyle w:val="Odstavecseseznamem"/>
        <w:numPr>
          <w:ilvl w:val="0"/>
          <w:numId w:val="29"/>
        </w:numPr>
        <w:spacing w:before="120" w:after="60" w:line="280" w:lineRule="atLeast"/>
        <w:ind w:left="567"/>
        <w:contextualSpacing w:val="0"/>
        <w:rPr>
          <w:rFonts w:cs="Arial"/>
          <w:b/>
          <w:sz w:val="20"/>
          <w:szCs w:val="20"/>
        </w:rPr>
      </w:pPr>
      <w:r w:rsidRPr="00FE4B25">
        <w:rPr>
          <w:rFonts w:cs="Arial"/>
          <w:b/>
          <w:sz w:val="20"/>
          <w:szCs w:val="20"/>
        </w:rPr>
        <w:t xml:space="preserve">do limitu plnění </w:t>
      </w:r>
      <w:r w:rsidRPr="00C21D18">
        <w:rPr>
          <w:rFonts w:cs="Arial"/>
          <w:b/>
          <w:sz w:val="20"/>
          <w:szCs w:val="20"/>
        </w:rPr>
        <w:t>15</w:t>
      </w:r>
      <w:r>
        <w:rPr>
          <w:rFonts w:cs="Arial"/>
          <w:b/>
          <w:sz w:val="20"/>
          <w:szCs w:val="20"/>
        </w:rPr>
        <w:t> </w:t>
      </w:r>
      <w:r w:rsidRPr="00C21D18">
        <w:rPr>
          <w:rFonts w:cs="Arial"/>
          <w:b/>
          <w:sz w:val="20"/>
          <w:szCs w:val="20"/>
        </w:rPr>
        <w:t>000</w:t>
      </w:r>
      <w:r>
        <w:rPr>
          <w:rFonts w:cs="Arial"/>
          <w:b/>
          <w:sz w:val="20"/>
          <w:szCs w:val="20"/>
        </w:rPr>
        <w:t xml:space="preserve"> Kč, adresa:</w:t>
      </w:r>
      <w:r w:rsidRPr="00D36927">
        <w:rPr>
          <w:rFonts w:cs="Arial"/>
          <w:b/>
          <w:bCs/>
          <w:sz w:val="20"/>
          <w:szCs w:val="20"/>
        </w:rPr>
        <w:t xml:space="preserve"> </w:t>
      </w:r>
      <w:r w:rsidR="00D36927" w:rsidRPr="00D36927">
        <w:rPr>
          <w:rFonts w:cs="Arial"/>
          <w:b/>
          <w:sz w:val="20"/>
          <w:szCs w:val="20"/>
        </w:rPr>
        <w:t>Olomouc, bufet menza Neředín, Třída Míru 113</w:t>
      </w:r>
    </w:p>
    <w:p w14:paraId="09BA9654" w14:textId="4E835831" w:rsidR="00D36927" w:rsidRPr="00D36927" w:rsidRDefault="00D36927" w:rsidP="00DB45E2">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uložené v uzamykatelné zásuvce</w:t>
      </w:r>
    </w:p>
    <w:p w14:paraId="5625C046" w14:textId="5B31F7CB" w:rsidR="00D36927" w:rsidRPr="00D36927" w:rsidRDefault="00DB45E2" w:rsidP="00D92ACB">
      <w:pPr>
        <w:pStyle w:val="Odstavecseseznamem"/>
        <w:numPr>
          <w:ilvl w:val="0"/>
          <w:numId w:val="29"/>
        </w:numPr>
        <w:spacing w:before="120" w:after="60" w:line="280" w:lineRule="atLeast"/>
        <w:ind w:left="567"/>
        <w:contextualSpacing w:val="0"/>
        <w:rPr>
          <w:rFonts w:cs="Arial"/>
          <w:b/>
          <w:sz w:val="20"/>
          <w:szCs w:val="20"/>
        </w:rPr>
      </w:pPr>
      <w:r w:rsidRPr="00FE4B25">
        <w:rPr>
          <w:rFonts w:cs="Arial"/>
          <w:b/>
          <w:sz w:val="20"/>
          <w:szCs w:val="20"/>
        </w:rPr>
        <w:t xml:space="preserve">do limitu plnění </w:t>
      </w:r>
      <w:r w:rsidRPr="00C21D18">
        <w:rPr>
          <w:rFonts w:cs="Arial"/>
          <w:b/>
          <w:sz w:val="20"/>
          <w:szCs w:val="20"/>
        </w:rPr>
        <w:t>1</w:t>
      </w:r>
      <w:r>
        <w:rPr>
          <w:rFonts w:cs="Arial"/>
          <w:b/>
          <w:sz w:val="20"/>
          <w:szCs w:val="20"/>
        </w:rPr>
        <w:t>00 </w:t>
      </w:r>
      <w:r w:rsidRPr="00C21D18">
        <w:rPr>
          <w:rFonts w:cs="Arial"/>
          <w:b/>
          <w:sz w:val="20"/>
          <w:szCs w:val="20"/>
        </w:rPr>
        <w:t>000</w:t>
      </w:r>
      <w:r>
        <w:rPr>
          <w:rFonts w:cs="Arial"/>
          <w:b/>
          <w:sz w:val="20"/>
          <w:szCs w:val="20"/>
        </w:rPr>
        <w:t xml:space="preserve"> Kč, adresa:</w:t>
      </w:r>
      <w:r w:rsidRPr="00D36927">
        <w:rPr>
          <w:rFonts w:cs="Arial"/>
          <w:b/>
          <w:bCs/>
          <w:sz w:val="20"/>
          <w:szCs w:val="20"/>
        </w:rPr>
        <w:t xml:space="preserve"> </w:t>
      </w:r>
      <w:r w:rsidR="00D36927" w:rsidRPr="00D36927">
        <w:rPr>
          <w:rFonts w:cs="Arial"/>
          <w:b/>
          <w:sz w:val="20"/>
          <w:szCs w:val="20"/>
        </w:rPr>
        <w:t>Olomouc, bufet 17.listopadu 54 (trezor)</w:t>
      </w:r>
    </w:p>
    <w:p w14:paraId="2C527E91" w14:textId="76B0D899" w:rsidR="00D36927" w:rsidRPr="00D36927" w:rsidRDefault="00D36927" w:rsidP="00C22E07">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uzavřený prostor, dveře plné konstrukce uzamčené bezpečnostním uzamykacím systémem a přídavným</w:t>
      </w:r>
      <w:r w:rsidR="00DB45E2">
        <w:rPr>
          <w:rFonts w:cs="Arial"/>
          <w:sz w:val="20"/>
          <w:szCs w:val="20"/>
        </w:rPr>
        <w:t xml:space="preserve"> </w:t>
      </w:r>
      <w:r w:rsidRPr="00D36927">
        <w:rPr>
          <w:rFonts w:cs="Arial"/>
          <w:sz w:val="20"/>
          <w:szCs w:val="20"/>
        </w:rPr>
        <w:t>bezpečnostním zámkem</w:t>
      </w:r>
    </w:p>
    <w:p w14:paraId="161E2490" w14:textId="2525BE33" w:rsidR="00D36927" w:rsidRDefault="00D36927" w:rsidP="00DB45E2">
      <w:pPr>
        <w:pStyle w:val="Odstavecseseznamem"/>
        <w:numPr>
          <w:ilvl w:val="0"/>
          <w:numId w:val="27"/>
        </w:numPr>
        <w:spacing w:before="60" w:line="280" w:lineRule="atLeast"/>
        <w:ind w:left="850" w:hanging="357"/>
        <w:contextualSpacing w:val="0"/>
        <w:rPr>
          <w:rFonts w:cs="Arial"/>
          <w:sz w:val="20"/>
          <w:szCs w:val="20"/>
        </w:rPr>
      </w:pPr>
      <w:r w:rsidRPr="00D36927">
        <w:rPr>
          <w:rFonts w:cs="Arial"/>
          <w:sz w:val="20"/>
          <w:szCs w:val="20"/>
        </w:rPr>
        <w:t>uložené v trezoru NT12M BT I</w:t>
      </w:r>
      <w:r w:rsidR="00DB45E2">
        <w:rPr>
          <w:rFonts w:cs="Arial"/>
          <w:sz w:val="20"/>
          <w:szCs w:val="20"/>
        </w:rPr>
        <w:t>.</w:t>
      </w:r>
    </w:p>
    <w:p w14:paraId="16B810AB" w14:textId="376E55FC" w:rsidR="00DB45E2" w:rsidRPr="00DB45E2" w:rsidRDefault="00DB45E2" w:rsidP="00D92ACB">
      <w:pPr>
        <w:pStyle w:val="Odstavecseseznamem"/>
        <w:numPr>
          <w:ilvl w:val="0"/>
          <w:numId w:val="29"/>
        </w:numPr>
        <w:spacing w:before="120" w:after="60" w:line="280" w:lineRule="atLeast"/>
        <w:ind w:left="567"/>
        <w:contextualSpacing w:val="0"/>
        <w:rPr>
          <w:rFonts w:cs="Arial"/>
          <w:b/>
          <w:sz w:val="20"/>
          <w:szCs w:val="20"/>
        </w:rPr>
      </w:pPr>
      <w:r w:rsidRPr="00FE4B25">
        <w:rPr>
          <w:rFonts w:cs="Arial"/>
          <w:b/>
          <w:sz w:val="20"/>
          <w:szCs w:val="20"/>
        </w:rPr>
        <w:t xml:space="preserve">do limitu plnění </w:t>
      </w:r>
      <w:r w:rsidRPr="00C21D18">
        <w:rPr>
          <w:rFonts w:cs="Arial"/>
          <w:b/>
          <w:sz w:val="20"/>
          <w:szCs w:val="20"/>
        </w:rPr>
        <w:t>15</w:t>
      </w:r>
      <w:r>
        <w:rPr>
          <w:rFonts w:cs="Arial"/>
          <w:b/>
          <w:sz w:val="20"/>
          <w:szCs w:val="20"/>
        </w:rPr>
        <w:t> </w:t>
      </w:r>
      <w:r w:rsidRPr="00C21D18">
        <w:rPr>
          <w:rFonts w:cs="Arial"/>
          <w:b/>
          <w:sz w:val="20"/>
          <w:szCs w:val="20"/>
        </w:rPr>
        <w:t>000</w:t>
      </w:r>
      <w:r>
        <w:rPr>
          <w:rFonts w:cs="Arial"/>
          <w:b/>
          <w:sz w:val="20"/>
          <w:szCs w:val="20"/>
        </w:rPr>
        <w:t xml:space="preserve"> Kč, adresa:</w:t>
      </w:r>
      <w:r w:rsidRPr="00D36927">
        <w:rPr>
          <w:rFonts w:cs="Arial"/>
          <w:b/>
          <w:bCs/>
          <w:sz w:val="20"/>
          <w:szCs w:val="20"/>
        </w:rPr>
        <w:t xml:space="preserve"> </w:t>
      </w:r>
      <w:r w:rsidRPr="00DB45E2">
        <w:rPr>
          <w:rFonts w:cs="Arial"/>
          <w:b/>
          <w:sz w:val="20"/>
          <w:szCs w:val="20"/>
        </w:rPr>
        <w:t>Olomouc, bufet 17. listopadu 54</w:t>
      </w:r>
    </w:p>
    <w:p w14:paraId="2E6428D8" w14:textId="70629DF3" w:rsidR="00DB45E2" w:rsidRPr="00DB45E2" w:rsidRDefault="00DB45E2" w:rsidP="00DB5910">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uložené v uzamykatelné zásuvce</w:t>
      </w:r>
    </w:p>
    <w:p w14:paraId="537FAD33" w14:textId="01CFB1E0" w:rsidR="00DB45E2" w:rsidRPr="00DB45E2" w:rsidRDefault="00DB5910" w:rsidP="00D92ACB">
      <w:pPr>
        <w:pStyle w:val="Odstavecseseznamem"/>
        <w:numPr>
          <w:ilvl w:val="0"/>
          <w:numId w:val="29"/>
        </w:numPr>
        <w:spacing w:before="120" w:after="60" w:line="280" w:lineRule="atLeast"/>
        <w:ind w:left="567"/>
        <w:contextualSpacing w:val="0"/>
        <w:rPr>
          <w:rFonts w:cs="Arial"/>
          <w:b/>
          <w:sz w:val="20"/>
          <w:szCs w:val="20"/>
        </w:rPr>
      </w:pPr>
      <w:r w:rsidRPr="00D36927">
        <w:rPr>
          <w:rFonts w:cs="Arial"/>
          <w:b/>
          <w:bCs/>
          <w:sz w:val="20"/>
          <w:szCs w:val="20"/>
        </w:rPr>
        <w:t xml:space="preserve">do limitu plnění </w:t>
      </w:r>
      <w:r w:rsidRPr="00C21D18">
        <w:rPr>
          <w:rFonts w:cs="Arial"/>
          <w:b/>
          <w:bCs/>
          <w:sz w:val="20"/>
          <w:szCs w:val="20"/>
        </w:rPr>
        <w:t>500</w:t>
      </w:r>
      <w:r w:rsidRPr="00D36927">
        <w:rPr>
          <w:rFonts w:cs="Arial"/>
          <w:b/>
          <w:bCs/>
          <w:sz w:val="20"/>
          <w:szCs w:val="20"/>
        </w:rPr>
        <w:t> </w:t>
      </w:r>
      <w:r w:rsidRPr="00C21D18">
        <w:rPr>
          <w:rFonts w:cs="Arial"/>
          <w:b/>
          <w:bCs/>
          <w:sz w:val="20"/>
          <w:szCs w:val="20"/>
        </w:rPr>
        <w:t>000</w:t>
      </w:r>
      <w:r w:rsidRPr="00D36927">
        <w:rPr>
          <w:rFonts w:cs="Arial"/>
          <w:b/>
          <w:bCs/>
          <w:sz w:val="20"/>
          <w:szCs w:val="20"/>
        </w:rPr>
        <w:t xml:space="preserve"> Kč, adresa: </w:t>
      </w:r>
      <w:r w:rsidR="00DB45E2" w:rsidRPr="00DB45E2">
        <w:rPr>
          <w:rFonts w:cs="Arial"/>
          <w:b/>
          <w:sz w:val="20"/>
          <w:szCs w:val="20"/>
        </w:rPr>
        <w:t>Olomouc, menza 17.listopadu 54</w:t>
      </w:r>
    </w:p>
    <w:p w14:paraId="63EA63C8" w14:textId="4AB20B47" w:rsidR="00DB45E2" w:rsidRPr="00DB45E2" w:rsidRDefault="00DB45E2" w:rsidP="00D5666C">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uzavřený prostor, dveře plné konstrukce uzamčené bezpečnostním uzamykacím systémem a přídavným</w:t>
      </w:r>
      <w:r w:rsidR="00DB5910">
        <w:rPr>
          <w:rFonts w:cs="Arial"/>
          <w:sz w:val="20"/>
          <w:szCs w:val="20"/>
        </w:rPr>
        <w:t xml:space="preserve"> </w:t>
      </w:r>
      <w:r w:rsidRPr="00DB45E2">
        <w:rPr>
          <w:rFonts w:cs="Arial"/>
          <w:sz w:val="20"/>
          <w:szCs w:val="20"/>
        </w:rPr>
        <w:t>bezpečnostním zámkem</w:t>
      </w:r>
    </w:p>
    <w:p w14:paraId="3202D170" w14:textId="1F7B61D1" w:rsidR="00DB45E2" w:rsidRPr="00DB45E2" w:rsidRDefault="00DB45E2" w:rsidP="00DB5910">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uložené v trezoru Profikon (480 kg) BT II</w:t>
      </w:r>
      <w:r w:rsidR="00DB5910">
        <w:rPr>
          <w:rFonts w:cs="Arial"/>
          <w:sz w:val="20"/>
          <w:szCs w:val="20"/>
        </w:rPr>
        <w:t>.</w:t>
      </w:r>
    </w:p>
    <w:p w14:paraId="3129911A" w14:textId="30AD5715" w:rsidR="00DB45E2" w:rsidRPr="00DB45E2" w:rsidRDefault="00DB45E2" w:rsidP="00DB5910">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venkovní okna opatřené bezpečnostní fólií</w:t>
      </w:r>
    </w:p>
    <w:p w14:paraId="22B05D00" w14:textId="512A1346" w:rsidR="00DB45E2" w:rsidRPr="00DB45E2" w:rsidRDefault="00DB45E2" w:rsidP="00DB5910">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instalována funkční EZS (elektronická zabezpečovací signalizace), signál vyveden na vrátnici</w:t>
      </w:r>
    </w:p>
    <w:p w14:paraId="62EC9892" w14:textId="324309F6" w:rsidR="00DB45E2" w:rsidRPr="00DB45E2" w:rsidRDefault="00DB5910" w:rsidP="00D92ACB">
      <w:pPr>
        <w:pStyle w:val="Odstavecseseznamem"/>
        <w:numPr>
          <w:ilvl w:val="0"/>
          <w:numId w:val="29"/>
        </w:numPr>
        <w:spacing w:before="120" w:after="60" w:line="280" w:lineRule="atLeast"/>
        <w:ind w:left="567"/>
        <w:contextualSpacing w:val="0"/>
        <w:rPr>
          <w:rFonts w:cs="Arial"/>
          <w:b/>
          <w:bCs/>
          <w:sz w:val="20"/>
          <w:szCs w:val="20"/>
        </w:rPr>
      </w:pPr>
      <w:r w:rsidRPr="00D36927">
        <w:rPr>
          <w:rFonts w:cs="Arial"/>
          <w:b/>
          <w:bCs/>
          <w:sz w:val="20"/>
          <w:szCs w:val="20"/>
        </w:rPr>
        <w:t xml:space="preserve">do limitu plnění </w:t>
      </w:r>
      <w:r>
        <w:rPr>
          <w:rFonts w:cs="Arial"/>
          <w:b/>
          <w:bCs/>
          <w:sz w:val="20"/>
          <w:szCs w:val="20"/>
        </w:rPr>
        <w:t>2</w:t>
      </w:r>
      <w:r w:rsidRPr="00C21D18">
        <w:rPr>
          <w:rFonts w:cs="Arial"/>
          <w:b/>
          <w:bCs/>
          <w:sz w:val="20"/>
          <w:szCs w:val="20"/>
        </w:rPr>
        <w:t>00</w:t>
      </w:r>
      <w:r w:rsidRPr="00D36927">
        <w:rPr>
          <w:rFonts w:cs="Arial"/>
          <w:b/>
          <w:bCs/>
          <w:sz w:val="20"/>
          <w:szCs w:val="20"/>
        </w:rPr>
        <w:t> </w:t>
      </w:r>
      <w:r w:rsidRPr="00C21D18">
        <w:rPr>
          <w:rFonts w:cs="Arial"/>
          <w:b/>
          <w:bCs/>
          <w:sz w:val="20"/>
          <w:szCs w:val="20"/>
        </w:rPr>
        <w:t>000</w:t>
      </w:r>
      <w:r w:rsidRPr="00D36927">
        <w:rPr>
          <w:rFonts w:cs="Arial"/>
          <w:b/>
          <w:bCs/>
          <w:sz w:val="20"/>
          <w:szCs w:val="20"/>
        </w:rPr>
        <w:t xml:space="preserve"> Kč, adresa: </w:t>
      </w:r>
      <w:r w:rsidR="00DB45E2" w:rsidRPr="00DB45E2">
        <w:rPr>
          <w:rFonts w:cs="Arial"/>
          <w:b/>
          <w:bCs/>
          <w:sz w:val="20"/>
          <w:szCs w:val="20"/>
        </w:rPr>
        <w:t>Olomouc, koleje 17. listopadu 54</w:t>
      </w:r>
    </w:p>
    <w:p w14:paraId="639377A9" w14:textId="3C8B88DB" w:rsidR="00DB45E2" w:rsidRPr="00DB45E2" w:rsidRDefault="00DB45E2" w:rsidP="00CB3B57">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uzavřený prostor, dveře plné konstrukce uzamčené bezpečnostním uzamykacím systémem a přídavným</w:t>
      </w:r>
      <w:r w:rsidR="00DB5910">
        <w:rPr>
          <w:rFonts w:cs="Arial"/>
          <w:sz w:val="20"/>
          <w:szCs w:val="20"/>
        </w:rPr>
        <w:t xml:space="preserve"> </w:t>
      </w:r>
      <w:r w:rsidRPr="00DB45E2">
        <w:rPr>
          <w:rFonts w:cs="Arial"/>
          <w:sz w:val="20"/>
          <w:szCs w:val="20"/>
        </w:rPr>
        <w:t>bezpečnostním zámkem</w:t>
      </w:r>
    </w:p>
    <w:p w14:paraId="2B627606" w14:textId="57ED0024" w:rsidR="00DB45E2" w:rsidRPr="00DB45E2" w:rsidRDefault="00DB45E2" w:rsidP="00DB5910">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uložené v trezoru Triton BT I</w:t>
      </w:r>
      <w:r w:rsidR="00DB5910">
        <w:rPr>
          <w:rFonts w:cs="Arial"/>
          <w:sz w:val="20"/>
          <w:szCs w:val="20"/>
        </w:rPr>
        <w:t>.</w:t>
      </w:r>
    </w:p>
    <w:p w14:paraId="7B567FAB" w14:textId="2AD9CF5C" w:rsidR="00DB45E2" w:rsidRDefault="00DB45E2" w:rsidP="00DB5910">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prosklené části vrátnice opatřené bezpečnostní fólií</w:t>
      </w:r>
    </w:p>
    <w:p w14:paraId="1410B112" w14:textId="77777777" w:rsidR="00D92ACB" w:rsidRDefault="00D92ACB" w:rsidP="00D92ACB">
      <w:pPr>
        <w:spacing w:before="60" w:line="280" w:lineRule="atLeast"/>
        <w:rPr>
          <w:rFonts w:cs="Arial"/>
          <w:sz w:val="20"/>
          <w:szCs w:val="20"/>
        </w:rPr>
      </w:pPr>
    </w:p>
    <w:p w14:paraId="5901E337" w14:textId="77777777" w:rsidR="00D92ACB" w:rsidRPr="00D92ACB" w:rsidRDefault="00D92ACB" w:rsidP="00D92ACB">
      <w:pPr>
        <w:spacing w:before="60" w:line="280" w:lineRule="atLeast"/>
        <w:rPr>
          <w:rFonts w:cs="Arial"/>
          <w:sz w:val="20"/>
          <w:szCs w:val="20"/>
        </w:rPr>
      </w:pPr>
    </w:p>
    <w:p w14:paraId="406CCBDE" w14:textId="7F9936CE" w:rsidR="00DB45E2" w:rsidRPr="00DB45E2" w:rsidRDefault="00DB5910" w:rsidP="00D92ACB">
      <w:pPr>
        <w:pStyle w:val="Odstavecseseznamem"/>
        <w:numPr>
          <w:ilvl w:val="0"/>
          <w:numId w:val="29"/>
        </w:numPr>
        <w:spacing w:after="60" w:line="280" w:lineRule="atLeast"/>
        <w:ind w:left="567" w:hanging="357"/>
        <w:contextualSpacing w:val="0"/>
        <w:rPr>
          <w:rFonts w:cs="Arial"/>
          <w:b/>
          <w:bCs/>
          <w:sz w:val="20"/>
          <w:szCs w:val="20"/>
        </w:rPr>
      </w:pPr>
      <w:r w:rsidRPr="00FE4B25">
        <w:rPr>
          <w:rFonts w:cs="Arial"/>
          <w:b/>
          <w:sz w:val="20"/>
          <w:szCs w:val="20"/>
        </w:rPr>
        <w:t xml:space="preserve">do limitu plnění </w:t>
      </w:r>
      <w:r w:rsidRPr="00C21D18">
        <w:rPr>
          <w:rFonts w:cs="Arial"/>
          <w:b/>
          <w:sz w:val="20"/>
          <w:szCs w:val="20"/>
        </w:rPr>
        <w:t>15</w:t>
      </w:r>
      <w:r>
        <w:rPr>
          <w:rFonts w:cs="Arial"/>
          <w:b/>
          <w:sz w:val="20"/>
          <w:szCs w:val="20"/>
        </w:rPr>
        <w:t> </w:t>
      </w:r>
      <w:r w:rsidRPr="00C21D18">
        <w:rPr>
          <w:rFonts w:cs="Arial"/>
          <w:b/>
          <w:sz w:val="20"/>
          <w:szCs w:val="20"/>
        </w:rPr>
        <w:t>000</w:t>
      </w:r>
      <w:r>
        <w:rPr>
          <w:rFonts w:cs="Arial"/>
          <w:b/>
          <w:sz w:val="20"/>
          <w:szCs w:val="20"/>
        </w:rPr>
        <w:t xml:space="preserve"> Kč, adresa:</w:t>
      </w:r>
      <w:r w:rsidRPr="00D36927">
        <w:rPr>
          <w:rFonts w:cs="Arial"/>
          <w:b/>
          <w:bCs/>
          <w:sz w:val="20"/>
          <w:szCs w:val="20"/>
        </w:rPr>
        <w:t xml:space="preserve"> </w:t>
      </w:r>
      <w:r w:rsidR="00DB45E2" w:rsidRPr="00DB45E2">
        <w:rPr>
          <w:rFonts w:cs="Arial"/>
          <w:b/>
          <w:bCs/>
          <w:sz w:val="20"/>
          <w:szCs w:val="20"/>
        </w:rPr>
        <w:t>Olomouc, koleje 17. listopadu 54 – vrátnice</w:t>
      </w:r>
    </w:p>
    <w:p w14:paraId="28D5CA28" w14:textId="5F864045" w:rsidR="00DB45E2" w:rsidRPr="00DB45E2" w:rsidRDefault="00DB45E2" w:rsidP="00DB5910">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uzavřený prostor, dveře prosklené konstrukce, řádně uzamčené bezpečnostním uzamykacím systémem</w:t>
      </w:r>
    </w:p>
    <w:p w14:paraId="2CB93773" w14:textId="4C94B9DE" w:rsidR="00DB45E2" w:rsidRPr="00DB45E2" w:rsidRDefault="00DB45E2" w:rsidP="00DB5910">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cennosti jsou uloženy v uzamykatelné zásuvce</w:t>
      </w:r>
    </w:p>
    <w:p w14:paraId="5891053A" w14:textId="3D563640" w:rsidR="00DB45E2" w:rsidRPr="00DB45E2" w:rsidRDefault="00DB45E2" w:rsidP="00DB5910">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prosklené části vrátnice opatřené bezpečnostní fólií</w:t>
      </w:r>
    </w:p>
    <w:p w14:paraId="4E8262BA" w14:textId="495CD7B1" w:rsidR="00DB45E2" w:rsidRPr="00DB45E2" w:rsidRDefault="00DB5910" w:rsidP="00D92ACB">
      <w:pPr>
        <w:pStyle w:val="Odstavecseseznamem"/>
        <w:numPr>
          <w:ilvl w:val="0"/>
          <w:numId w:val="29"/>
        </w:numPr>
        <w:spacing w:before="120" w:after="60" w:line="280" w:lineRule="atLeast"/>
        <w:ind w:left="567"/>
        <w:contextualSpacing w:val="0"/>
        <w:rPr>
          <w:rFonts w:cs="Arial"/>
          <w:b/>
          <w:sz w:val="20"/>
          <w:szCs w:val="20"/>
        </w:rPr>
      </w:pPr>
      <w:r w:rsidRPr="00FE4B25">
        <w:rPr>
          <w:rFonts w:cs="Arial"/>
          <w:b/>
          <w:sz w:val="20"/>
          <w:szCs w:val="20"/>
        </w:rPr>
        <w:t xml:space="preserve">do limitu plnění </w:t>
      </w:r>
      <w:r>
        <w:rPr>
          <w:rFonts w:cs="Arial"/>
          <w:b/>
          <w:sz w:val="20"/>
          <w:szCs w:val="20"/>
        </w:rPr>
        <w:t>200 </w:t>
      </w:r>
      <w:r w:rsidRPr="00C21D18">
        <w:rPr>
          <w:rFonts w:cs="Arial"/>
          <w:b/>
          <w:sz w:val="20"/>
          <w:szCs w:val="20"/>
        </w:rPr>
        <w:t>000</w:t>
      </w:r>
      <w:r>
        <w:rPr>
          <w:rFonts w:cs="Arial"/>
          <w:b/>
          <w:sz w:val="20"/>
          <w:szCs w:val="20"/>
        </w:rPr>
        <w:t xml:space="preserve"> Kč, adresa:</w:t>
      </w:r>
      <w:r w:rsidRPr="00D36927">
        <w:rPr>
          <w:rFonts w:cs="Arial"/>
          <w:b/>
          <w:bCs/>
          <w:sz w:val="20"/>
          <w:szCs w:val="20"/>
        </w:rPr>
        <w:t xml:space="preserve"> </w:t>
      </w:r>
      <w:r w:rsidR="00DB45E2" w:rsidRPr="00DB45E2">
        <w:rPr>
          <w:rFonts w:cs="Arial"/>
          <w:b/>
          <w:sz w:val="20"/>
          <w:szCs w:val="20"/>
        </w:rPr>
        <w:t>Olomouc, koleje E.Rošického, U Sportovní haly 4 – vrátnice</w:t>
      </w:r>
    </w:p>
    <w:p w14:paraId="0AE85FDF" w14:textId="11B5CB43" w:rsidR="00DB45E2" w:rsidRPr="00DB45E2" w:rsidRDefault="00DB45E2" w:rsidP="005B5DEA">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 xml:space="preserve">uzavřený prostor, dveře plné konstrukce uzamčené bezpečnostním uzamykacím systémem </w:t>
      </w:r>
      <w:r w:rsidR="00DB5910">
        <w:rPr>
          <w:rFonts w:cs="Arial"/>
          <w:sz w:val="20"/>
          <w:szCs w:val="20"/>
        </w:rPr>
        <w:br/>
      </w:r>
      <w:r w:rsidRPr="00DB45E2">
        <w:rPr>
          <w:rFonts w:cs="Arial"/>
          <w:sz w:val="20"/>
          <w:szCs w:val="20"/>
        </w:rPr>
        <w:t>a přídavným</w:t>
      </w:r>
      <w:r w:rsidR="00DB5910">
        <w:rPr>
          <w:rFonts w:cs="Arial"/>
          <w:sz w:val="20"/>
          <w:szCs w:val="20"/>
        </w:rPr>
        <w:t xml:space="preserve"> </w:t>
      </w:r>
      <w:r w:rsidRPr="00DB45E2">
        <w:rPr>
          <w:rFonts w:cs="Arial"/>
          <w:sz w:val="20"/>
          <w:szCs w:val="20"/>
        </w:rPr>
        <w:t>bezpečnostním zámkem</w:t>
      </w:r>
    </w:p>
    <w:p w14:paraId="0FB2919B" w14:textId="559399AD" w:rsidR="00DB45E2" w:rsidRPr="00DB45E2" w:rsidRDefault="00DB45E2" w:rsidP="00DB5910">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uložené v trezoru Triton BT I</w:t>
      </w:r>
      <w:r w:rsidR="00DB5910">
        <w:rPr>
          <w:rFonts w:cs="Arial"/>
          <w:sz w:val="20"/>
          <w:szCs w:val="20"/>
        </w:rPr>
        <w:t>.</w:t>
      </w:r>
    </w:p>
    <w:p w14:paraId="5088A580" w14:textId="09ACFE49" w:rsidR="00DB45E2" w:rsidRPr="00DB45E2" w:rsidRDefault="00DB45E2" w:rsidP="00DB5910">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prosklené části vrátnice opatřené bezpečnostní fólií</w:t>
      </w:r>
    </w:p>
    <w:p w14:paraId="2541F033" w14:textId="47A529B0" w:rsidR="00DB45E2" w:rsidRPr="00DB45E2" w:rsidRDefault="00DB45E2" w:rsidP="00DB5910">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nepřetržitá služba/ostraha na vrátnici</w:t>
      </w:r>
    </w:p>
    <w:p w14:paraId="6DA8A00D" w14:textId="590B54E0" w:rsidR="00DB45E2" w:rsidRPr="00DB45E2" w:rsidRDefault="00DB5910" w:rsidP="00D92ACB">
      <w:pPr>
        <w:pStyle w:val="Odstavecseseznamem"/>
        <w:numPr>
          <w:ilvl w:val="0"/>
          <w:numId w:val="29"/>
        </w:numPr>
        <w:spacing w:before="120" w:after="60" w:line="280" w:lineRule="atLeast"/>
        <w:ind w:left="567"/>
        <w:contextualSpacing w:val="0"/>
        <w:rPr>
          <w:rFonts w:cs="Arial"/>
          <w:b/>
          <w:sz w:val="20"/>
          <w:szCs w:val="20"/>
        </w:rPr>
      </w:pPr>
      <w:r w:rsidRPr="00DB5910">
        <w:rPr>
          <w:rFonts w:cs="Arial"/>
          <w:b/>
          <w:sz w:val="20"/>
          <w:szCs w:val="20"/>
        </w:rPr>
        <w:t xml:space="preserve">do limitu plnění </w:t>
      </w:r>
      <w:r w:rsidRPr="00C21D18">
        <w:rPr>
          <w:rFonts w:cs="Arial"/>
          <w:b/>
          <w:sz w:val="20"/>
          <w:szCs w:val="20"/>
        </w:rPr>
        <w:t>15</w:t>
      </w:r>
      <w:r w:rsidRPr="00DB5910">
        <w:rPr>
          <w:rFonts w:cs="Arial"/>
          <w:b/>
          <w:sz w:val="20"/>
          <w:szCs w:val="20"/>
        </w:rPr>
        <w:t> </w:t>
      </w:r>
      <w:r w:rsidRPr="00C21D18">
        <w:rPr>
          <w:rFonts w:cs="Arial"/>
          <w:b/>
          <w:sz w:val="20"/>
          <w:szCs w:val="20"/>
        </w:rPr>
        <w:t>000</w:t>
      </w:r>
      <w:r w:rsidRPr="00DB5910">
        <w:rPr>
          <w:rFonts w:cs="Arial"/>
          <w:b/>
          <w:sz w:val="20"/>
          <w:szCs w:val="20"/>
        </w:rPr>
        <w:t xml:space="preserve"> Kč, adresa:</w:t>
      </w:r>
      <w:r w:rsidRPr="00D36927">
        <w:rPr>
          <w:rFonts w:cs="Arial"/>
          <w:b/>
          <w:sz w:val="20"/>
          <w:szCs w:val="20"/>
        </w:rPr>
        <w:t xml:space="preserve"> </w:t>
      </w:r>
      <w:r w:rsidR="00DB45E2" w:rsidRPr="00DB45E2">
        <w:rPr>
          <w:rFonts w:cs="Arial"/>
          <w:b/>
          <w:sz w:val="20"/>
          <w:szCs w:val="20"/>
        </w:rPr>
        <w:t>Olomouc, E.Rošického, U Sportovní haly 4 – vrátnice</w:t>
      </w:r>
    </w:p>
    <w:p w14:paraId="1F99D9A4" w14:textId="5F22F2DA" w:rsidR="00DB45E2" w:rsidRPr="00DB45E2" w:rsidRDefault="00DB45E2" w:rsidP="00407DC9">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uzavřený prostor, dveře prosklené konstrukce opatřeno kováním R1 a R3, řádně uzamčené bezpečnostním</w:t>
      </w:r>
      <w:r w:rsidR="00DB5910">
        <w:rPr>
          <w:rFonts w:cs="Arial"/>
          <w:sz w:val="20"/>
          <w:szCs w:val="20"/>
        </w:rPr>
        <w:t xml:space="preserve"> </w:t>
      </w:r>
      <w:r w:rsidRPr="00DB45E2">
        <w:rPr>
          <w:rFonts w:cs="Arial"/>
          <w:sz w:val="20"/>
          <w:szCs w:val="20"/>
        </w:rPr>
        <w:t>uzamykacím systémem</w:t>
      </w:r>
    </w:p>
    <w:p w14:paraId="6C3F1CA7" w14:textId="1B0C1EB2" w:rsidR="00DB45E2" w:rsidRPr="00DB45E2" w:rsidRDefault="00DB45E2" w:rsidP="00F60FCA">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uložené v uzamykatelné zásuvce</w:t>
      </w:r>
    </w:p>
    <w:p w14:paraId="4C3B15B9" w14:textId="60A5CC1F" w:rsidR="00DB45E2" w:rsidRPr="00DB45E2" w:rsidRDefault="00DB45E2" w:rsidP="00F60FCA">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prosklené části vrátnice opatřené bezpečnostní fólií</w:t>
      </w:r>
    </w:p>
    <w:p w14:paraId="11BD3925" w14:textId="07B2DEC0" w:rsidR="00DB45E2" w:rsidRPr="00DB45E2" w:rsidRDefault="00DB45E2" w:rsidP="00F60FCA">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nepřetržitá služba na vrátnici budovy</w:t>
      </w:r>
    </w:p>
    <w:p w14:paraId="2345F93D" w14:textId="652DE40B" w:rsidR="00DB45E2" w:rsidRPr="00DB45E2" w:rsidRDefault="00F60FCA" w:rsidP="00D92ACB">
      <w:pPr>
        <w:pStyle w:val="Odstavecseseznamem"/>
        <w:numPr>
          <w:ilvl w:val="0"/>
          <w:numId w:val="29"/>
        </w:numPr>
        <w:spacing w:before="120" w:after="60" w:line="280" w:lineRule="atLeast"/>
        <w:ind w:left="567"/>
        <w:contextualSpacing w:val="0"/>
        <w:rPr>
          <w:rFonts w:cs="Arial"/>
          <w:b/>
          <w:sz w:val="20"/>
          <w:szCs w:val="20"/>
        </w:rPr>
      </w:pPr>
      <w:r w:rsidRPr="00DB5910">
        <w:rPr>
          <w:rFonts w:cs="Arial"/>
          <w:b/>
          <w:sz w:val="20"/>
          <w:szCs w:val="20"/>
        </w:rPr>
        <w:t xml:space="preserve">do limitu plnění </w:t>
      </w:r>
      <w:r w:rsidRPr="00C21D18">
        <w:rPr>
          <w:rFonts w:cs="Arial"/>
          <w:b/>
          <w:sz w:val="20"/>
          <w:szCs w:val="20"/>
        </w:rPr>
        <w:t>1</w:t>
      </w:r>
      <w:r>
        <w:rPr>
          <w:rFonts w:cs="Arial"/>
          <w:b/>
          <w:sz w:val="20"/>
          <w:szCs w:val="20"/>
        </w:rPr>
        <w:t>00</w:t>
      </w:r>
      <w:r w:rsidRPr="00DB5910">
        <w:rPr>
          <w:rFonts w:cs="Arial"/>
          <w:b/>
          <w:sz w:val="20"/>
          <w:szCs w:val="20"/>
        </w:rPr>
        <w:t> </w:t>
      </w:r>
      <w:r w:rsidRPr="00C21D18">
        <w:rPr>
          <w:rFonts w:cs="Arial"/>
          <w:b/>
          <w:sz w:val="20"/>
          <w:szCs w:val="20"/>
        </w:rPr>
        <w:t>000</w:t>
      </w:r>
      <w:r w:rsidRPr="00DB5910">
        <w:rPr>
          <w:rFonts w:cs="Arial"/>
          <w:b/>
          <w:sz w:val="20"/>
          <w:szCs w:val="20"/>
        </w:rPr>
        <w:t xml:space="preserve"> Kč, adresa:</w:t>
      </w:r>
      <w:r w:rsidRPr="00D36927">
        <w:rPr>
          <w:rFonts w:cs="Arial"/>
          <w:b/>
          <w:sz w:val="20"/>
          <w:szCs w:val="20"/>
        </w:rPr>
        <w:t xml:space="preserve"> </w:t>
      </w:r>
      <w:r w:rsidR="00DB45E2" w:rsidRPr="00DB45E2">
        <w:rPr>
          <w:rFonts w:cs="Arial"/>
          <w:b/>
          <w:sz w:val="20"/>
          <w:szCs w:val="20"/>
        </w:rPr>
        <w:t>Olomouc, koleje Chvalkovice, Na zákopě 24 – vrátnice</w:t>
      </w:r>
    </w:p>
    <w:p w14:paraId="4E7766DC" w14:textId="2201783B" w:rsidR="00DB45E2" w:rsidRPr="00DB45E2" w:rsidRDefault="00DB45E2" w:rsidP="00F60FCA">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uzavřený prostor, dveře prosklené konstrukce uzamčené bezpečnostním uzamykacím systémem</w:t>
      </w:r>
    </w:p>
    <w:p w14:paraId="55B1ED9F" w14:textId="7201C793" w:rsidR="00DB45E2" w:rsidRPr="00DB45E2" w:rsidRDefault="00DB45E2" w:rsidP="00F60FCA">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uložené v trezoru Triton BT I</w:t>
      </w:r>
      <w:r w:rsidR="00F60FCA">
        <w:rPr>
          <w:rFonts w:cs="Arial"/>
          <w:sz w:val="20"/>
          <w:szCs w:val="20"/>
        </w:rPr>
        <w:t>.</w:t>
      </w:r>
    </w:p>
    <w:p w14:paraId="25F5D597" w14:textId="766B93B9" w:rsidR="00DB45E2" w:rsidRPr="00DB45E2" w:rsidRDefault="00DB45E2" w:rsidP="00F60FCA">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prosklené části vrátnice opatřené bezpečnostní fólií</w:t>
      </w:r>
    </w:p>
    <w:p w14:paraId="630FB9C0" w14:textId="18B6FE2C" w:rsidR="00DB45E2" w:rsidRPr="00DB45E2" w:rsidRDefault="00DB45E2" w:rsidP="00F60FCA">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nepřetržitá služba/ostraha na vrátnici</w:t>
      </w:r>
    </w:p>
    <w:p w14:paraId="6D55E7EB" w14:textId="20880B25" w:rsidR="00DB45E2" w:rsidRPr="00DB45E2" w:rsidRDefault="00F60FCA" w:rsidP="00D92ACB">
      <w:pPr>
        <w:pStyle w:val="Odstavecseseznamem"/>
        <w:numPr>
          <w:ilvl w:val="0"/>
          <w:numId w:val="29"/>
        </w:numPr>
        <w:spacing w:before="120" w:after="60" w:line="280" w:lineRule="atLeast"/>
        <w:ind w:left="567"/>
        <w:contextualSpacing w:val="0"/>
        <w:rPr>
          <w:rFonts w:cs="Arial"/>
          <w:b/>
          <w:sz w:val="20"/>
          <w:szCs w:val="20"/>
        </w:rPr>
      </w:pPr>
      <w:r w:rsidRPr="00DB5910">
        <w:rPr>
          <w:rFonts w:cs="Arial"/>
          <w:b/>
          <w:sz w:val="20"/>
          <w:szCs w:val="20"/>
        </w:rPr>
        <w:t xml:space="preserve">do limitu plnění </w:t>
      </w:r>
      <w:r w:rsidRPr="00C21D18">
        <w:rPr>
          <w:rFonts w:cs="Arial"/>
          <w:b/>
          <w:sz w:val="20"/>
          <w:szCs w:val="20"/>
        </w:rPr>
        <w:t>15</w:t>
      </w:r>
      <w:r w:rsidRPr="00DB5910">
        <w:rPr>
          <w:rFonts w:cs="Arial"/>
          <w:b/>
          <w:sz w:val="20"/>
          <w:szCs w:val="20"/>
        </w:rPr>
        <w:t> </w:t>
      </w:r>
      <w:r w:rsidRPr="00C21D18">
        <w:rPr>
          <w:rFonts w:cs="Arial"/>
          <w:b/>
          <w:sz w:val="20"/>
          <w:szCs w:val="20"/>
        </w:rPr>
        <w:t>000</w:t>
      </w:r>
      <w:r w:rsidRPr="00DB5910">
        <w:rPr>
          <w:rFonts w:cs="Arial"/>
          <w:b/>
          <w:sz w:val="20"/>
          <w:szCs w:val="20"/>
        </w:rPr>
        <w:t xml:space="preserve"> Kč, adresa:</w:t>
      </w:r>
      <w:r w:rsidRPr="00D36927">
        <w:rPr>
          <w:rFonts w:cs="Arial"/>
          <w:b/>
          <w:sz w:val="20"/>
          <w:szCs w:val="20"/>
        </w:rPr>
        <w:t xml:space="preserve"> </w:t>
      </w:r>
      <w:r w:rsidR="00DB45E2" w:rsidRPr="00DB45E2">
        <w:rPr>
          <w:rFonts w:cs="Arial"/>
          <w:b/>
          <w:sz w:val="20"/>
          <w:szCs w:val="20"/>
        </w:rPr>
        <w:t>Olomouc, koleje Chvalkovice, Na zákopě 24 – vrátnice</w:t>
      </w:r>
    </w:p>
    <w:p w14:paraId="3ECBAA39" w14:textId="51E8E325" w:rsidR="00DB45E2" w:rsidRPr="00DB45E2" w:rsidRDefault="00DB45E2" w:rsidP="00ED53DA">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uzavřený prostor, dveře prosklené konstrukce opatřeno kováním R1 a R3, řádně uzamčené bezpečnostním</w:t>
      </w:r>
      <w:r w:rsidR="00F60FCA">
        <w:rPr>
          <w:rFonts w:cs="Arial"/>
          <w:sz w:val="20"/>
          <w:szCs w:val="20"/>
        </w:rPr>
        <w:t xml:space="preserve"> </w:t>
      </w:r>
      <w:r w:rsidRPr="00DB45E2">
        <w:rPr>
          <w:rFonts w:cs="Arial"/>
          <w:sz w:val="20"/>
          <w:szCs w:val="20"/>
        </w:rPr>
        <w:t>uzamykacím systémem</w:t>
      </w:r>
    </w:p>
    <w:p w14:paraId="264E2EDD" w14:textId="0D983FBA" w:rsidR="00DB45E2" w:rsidRPr="00DB45E2" w:rsidRDefault="00DB45E2" w:rsidP="00F60FCA">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uložené v uzamykatelné zásuvce</w:t>
      </w:r>
    </w:p>
    <w:p w14:paraId="2068AC2E" w14:textId="1203C389" w:rsidR="00DB45E2" w:rsidRPr="00DB45E2" w:rsidRDefault="00DB45E2" w:rsidP="00F60FCA">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prosklené části vrátnice opatřené bezpečnostní fólií</w:t>
      </w:r>
    </w:p>
    <w:p w14:paraId="6AA216A8" w14:textId="22FAD209" w:rsidR="00DB45E2" w:rsidRPr="00DB45E2" w:rsidRDefault="00DB45E2" w:rsidP="00F60FCA">
      <w:pPr>
        <w:pStyle w:val="Odstavecseseznamem"/>
        <w:numPr>
          <w:ilvl w:val="0"/>
          <w:numId w:val="27"/>
        </w:numPr>
        <w:spacing w:before="60" w:line="280" w:lineRule="atLeast"/>
        <w:ind w:left="850" w:hanging="357"/>
        <w:contextualSpacing w:val="0"/>
        <w:rPr>
          <w:rFonts w:cs="Arial"/>
          <w:sz w:val="20"/>
          <w:szCs w:val="20"/>
        </w:rPr>
      </w:pPr>
      <w:r w:rsidRPr="00DB45E2">
        <w:rPr>
          <w:rFonts w:cs="Arial"/>
          <w:sz w:val="20"/>
          <w:szCs w:val="20"/>
        </w:rPr>
        <w:t>nepřetržitá služba na vrátnici budovy</w:t>
      </w:r>
    </w:p>
    <w:p w14:paraId="4EDE3EAA" w14:textId="1D9AAAE9" w:rsidR="00D92ACB" w:rsidRDefault="00D92ACB">
      <w:pPr>
        <w:jc w:val="left"/>
        <w:rPr>
          <w:rFonts w:cs="Arial"/>
          <w:sz w:val="20"/>
          <w:szCs w:val="20"/>
        </w:rPr>
      </w:pPr>
    </w:p>
    <w:p w14:paraId="50B7D773" w14:textId="77777777" w:rsidR="00805A6B" w:rsidRDefault="00805A6B">
      <w:pPr>
        <w:jc w:val="left"/>
        <w:rPr>
          <w:rFonts w:cs="Arial"/>
          <w:b/>
          <w:sz w:val="20"/>
          <w:szCs w:val="20"/>
          <w:highlight w:val="yellow"/>
        </w:rPr>
      </w:pPr>
      <w:r>
        <w:rPr>
          <w:rFonts w:cs="Arial"/>
          <w:b/>
          <w:sz w:val="20"/>
          <w:szCs w:val="20"/>
          <w:highlight w:val="yellow"/>
        </w:rPr>
        <w:br w:type="page"/>
      </w:r>
    </w:p>
    <w:p w14:paraId="71AA1364" w14:textId="77777777" w:rsidR="00805A6B" w:rsidRDefault="00805A6B" w:rsidP="00805A6B">
      <w:pPr>
        <w:spacing w:before="240" w:line="280" w:lineRule="atLeast"/>
        <w:ind w:left="227"/>
        <w:rPr>
          <w:rFonts w:cs="Arial"/>
          <w:b/>
          <w:sz w:val="20"/>
          <w:szCs w:val="20"/>
          <w:highlight w:val="yellow"/>
        </w:rPr>
      </w:pPr>
    </w:p>
    <w:p w14:paraId="13E2B4DE" w14:textId="37D140A7" w:rsidR="00B5607F" w:rsidRPr="00B5607F" w:rsidRDefault="00B5607F" w:rsidP="00805A6B">
      <w:pPr>
        <w:spacing w:after="120" w:line="280" w:lineRule="atLeast"/>
        <w:ind w:left="227"/>
        <w:rPr>
          <w:rFonts w:cs="Arial"/>
          <w:b/>
          <w:sz w:val="20"/>
          <w:szCs w:val="20"/>
        </w:rPr>
      </w:pPr>
      <w:r w:rsidRPr="00275FCD">
        <w:rPr>
          <w:rFonts w:cs="Arial"/>
          <w:b/>
          <w:sz w:val="20"/>
          <w:szCs w:val="20"/>
          <w:highlight w:val="yellow"/>
        </w:rPr>
        <w:t>I</w:t>
      </w:r>
      <w:r w:rsidR="00C21D18">
        <w:rPr>
          <w:rFonts w:cs="Arial"/>
          <w:b/>
          <w:sz w:val="20"/>
          <w:szCs w:val="20"/>
          <w:highlight w:val="yellow"/>
        </w:rPr>
        <w:t>V</w:t>
      </w:r>
      <w:r w:rsidRPr="00275FCD">
        <w:rPr>
          <w:rFonts w:cs="Arial"/>
          <w:b/>
          <w:sz w:val="20"/>
          <w:szCs w:val="20"/>
          <w:highlight w:val="yellow"/>
        </w:rPr>
        <w:t>. Odchylné způsoby zabezpečení přepravovaných cenností</w:t>
      </w:r>
    </w:p>
    <w:p w14:paraId="7B415886" w14:textId="77777777" w:rsidR="00B5607F" w:rsidRPr="00B5607F" w:rsidRDefault="00B5607F" w:rsidP="00B5607F">
      <w:pPr>
        <w:spacing w:after="120" w:line="280" w:lineRule="atLeast"/>
        <w:ind w:left="227"/>
        <w:rPr>
          <w:rFonts w:cs="Arial"/>
          <w:sz w:val="20"/>
          <w:szCs w:val="20"/>
        </w:rPr>
      </w:pPr>
      <w:r w:rsidRPr="00B5607F">
        <w:rPr>
          <w:rFonts w:cs="Arial"/>
          <w:sz w:val="20"/>
          <w:szCs w:val="20"/>
        </w:rPr>
        <w:t>Cennosti (tj. platné tuzemské a cizozemské státovky, bankovky a mince, vkladní a šekové knížky, platební</w:t>
      </w:r>
      <w:r>
        <w:rPr>
          <w:rFonts w:cs="Arial"/>
          <w:sz w:val="20"/>
          <w:szCs w:val="20"/>
        </w:rPr>
        <w:t xml:space="preserve"> </w:t>
      </w:r>
      <w:r w:rsidRPr="00B5607F">
        <w:rPr>
          <w:rFonts w:cs="Arial"/>
          <w:sz w:val="20"/>
          <w:szCs w:val="20"/>
        </w:rPr>
        <w:t>karty a jiné obdobné dokumenty, cenné papíry a ceniny)</w:t>
      </w:r>
    </w:p>
    <w:p w14:paraId="14EE0F82" w14:textId="18940A4A" w:rsidR="00B5607F" w:rsidRPr="00D92ACB" w:rsidRDefault="00B5607F" w:rsidP="00D92ACB">
      <w:pPr>
        <w:pStyle w:val="Odstavecseseznamem"/>
        <w:numPr>
          <w:ilvl w:val="0"/>
          <w:numId w:val="31"/>
        </w:numPr>
        <w:spacing w:after="120" w:line="280" w:lineRule="atLeast"/>
        <w:ind w:left="567"/>
        <w:rPr>
          <w:rFonts w:cs="Arial"/>
          <w:b/>
          <w:sz w:val="20"/>
          <w:szCs w:val="20"/>
        </w:rPr>
      </w:pPr>
      <w:r w:rsidRPr="00D92ACB">
        <w:rPr>
          <w:rFonts w:cs="Arial"/>
          <w:b/>
          <w:sz w:val="20"/>
          <w:szCs w:val="20"/>
        </w:rPr>
        <w:t>do limitu plnění 100 000 Kč</w:t>
      </w:r>
    </w:p>
    <w:p w14:paraId="0BD5A766" w14:textId="067A4695" w:rsidR="00B5607F" w:rsidRPr="00B5607F" w:rsidRDefault="00B5607F" w:rsidP="00B5607F">
      <w:pPr>
        <w:spacing w:after="120" w:line="280" w:lineRule="atLeast"/>
        <w:ind w:left="227"/>
        <w:rPr>
          <w:rFonts w:cs="Arial"/>
          <w:sz w:val="20"/>
          <w:szCs w:val="20"/>
        </w:rPr>
      </w:pPr>
      <w:r>
        <w:rPr>
          <w:rFonts w:cs="Arial"/>
          <w:sz w:val="20"/>
          <w:szCs w:val="20"/>
        </w:rPr>
        <w:t>Peníze a c</w:t>
      </w:r>
      <w:r w:rsidRPr="00B5607F">
        <w:rPr>
          <w:rFonts w:cs="Arial"/>
          <w:sz w:val="20"/>
          <w:szCs w:val="20"/>
        </w:rPr>
        <w:t>ennosti jsou přepravovány alespoň jednou osobou, která je vybavena obranným prostředkem (např.</w:t>
      </w:r>
      <w:r w:rsidR="008669F0">
        <w:rPr>
          <w:rFonts w:cs="Arial"/>
          <w:sz w:val="20"/>
          <w:szCs w:val="20"/>
        </w:rPr>
        <w:t xml:space="preserve"> </w:t>
      </w:r>
      <w:r w:rsidRPr="00B5607F">
        <w:rPr>
          <w:rFonts w:cs="Arial"/>
          <w:sz w:val="20"/>
          <w:szCs w:val="20"/>
        </w:rPr>
        <w:t>sprejem) a jsou uloženy v pevné, řádně uzavřené kabele nebo kufříku</w:t>
      </w:r>
      <w:r>
        <w:rPr>
          <w:rFonts w:cs="Arial"/>
          <w:sz w:val="20"/>
          <w:szCs w:val="20"/>
        </w:rPr>
        <w:t>;</w:t>
      </w:r>
    </w:p>
    <w:p w14:paraId="1E83BE3C" w14:textId="45D6925B" w:rsidR="00B5607F" w:rsidRPr="00B5607F" w:rsidRDefault="00B5607F" w:rsidP="00D92ACB">
      <w:pPr>
        <w:pStyle w:val="Odstavecseseznamem"/>
        <w:numPr>
          <w:ilvl w:val="0"/>
          <w:numId w:val="31"/>
        </w:numPr>
        <w:spacing w:after="120" w:line="280" w:lineRule="atLeast"/>
        <w:ind w:left="567"/>
        <w:rPr>
          <w:rFonts w:cs="Arial"/>
          <w:b/>
          <w:sz w:val="20"/>
          <w:szCs w:val="20"/>
        </w:rPr>
      </w:pPr>
      <w:r w:rsidRPr="00B5607F">
        <w:rPr>
          <w:rFonts w:cs="Arial"/>
          <w:b/>
          <w:sz w:val="20"/>
          <w:szCs w:val="20"/>
        </w:rPr>
        <w:t xml:space="preserve">do limitu plnění </w:t>
      </w:r>
      <w:r>
        <w:rPr>
          <w:rFonts w:cs="Arial"/>
          <w:b/>
          <w:sz w:val="20"/>
          <w:szCs w:val="20"/>
        </w:rPr>
        <w:t xml:space="preserve">200 000 </w:t>
      </w:r>
      <w:r w:rsidRPr="00B5607F">
        <w:rPr>
          <w:rFonts w:cs="Arial"/>
          <w:b/>
          <w:sz w:val="20"/>
          <w:szCs w:val="20"/>
        </w:rPr>
        <w:t>Kč</w:t>
      </w:r>
    </w:p>
    <w:p w14:paraId="3F25D6E5" w14:textId="7EC5776D" w:rsidR="00B5607F" w:rsidRDefault="00B5607F" w:rsidP="00B5607F">
      <w:pPr>
        <w:spacing w:after="120" w:line="280" w:lineRule="atLeast"/>
        <w:ind w:left="227"/>
        <w:rPr>
          <w:rFonts w:cs="Arial"/>
          <w:sz w:val="20"/>
          <w:szCs w:val="20"/>
        </w:rPr>
      </w:pPr>
      <w:r>
        <w:rPr>
          <w:rFonts w:cs="Arial"/>
          <w:sz w:val="20"/>
          <w:szCs w:val="20"/>
        </w:rPr>
        <w:t>Peníze a c</w:t>
      </w:r>
      <w:r w:rsidRPr="00B5607F">
        <w:rPr>
          <w:rFonts w:cs="Arial"/>
          <w:sz w:val="20"/>
          <w:szCs w:val="20"/>
        </w:rPr>
        <w:t>ennosti jsou přepravovány alespoň dvěma osobami, z nichž alespoň jedna je vybavena funkčním obranným</w:t>
      </w:r>
      <w:r>
        <w:rPr>
          <w:rFonts w:cs="Arial"/>
          <w:sz w:val="20"/>
          <w:szCs w:val="20"/>
        </w:rPr>
        <w:t xml:space="preserve"> </w:t>
      </w:r>
      <w:r w:rsidRPr="00B5607F">
        <w:rPr>
          <w:rFonts w:cs="Arial"/>
          <w:sz w:val="20"/>
          <w:szCs w:val="20"/>
        </w:rPr>
        <w:t>prostředkem (např. sprejem) a zároveň jsou uloženy v pevné, řádně uzavřené kabele nebo kufříku</w:t>
      </w:r>
      <w:r>
        <w:rPr>
          <w:rFonts w:cs="Arial"/>
          <w:sz w:val="20"/>
          <w:szCs w:val="20"/>
        </w:rPr>
        <w:t>;</w:t>
      </w:r>
    </w:p>
    <w:p w14:paraId="29B1D387" w14:textId="4359F4A4" w:rsidR="00B5607F" w:rsidRPr="00B5607F" w:rsidRDefault="00B5607F" w:rsidP="00D92ACB">
      <w:pPr>
        <w:pStyle w:val="Odstavecseseznamem"/>
        <w:numPr>
          <w:ilvl w:val="0"/>
          <w:numId w:val="31"/>
        </w:numPr>
        <w:spacing w:after="120" w:line="280" w:lineRule="atLeast"/>
        <w:ind w:left="567"/>
        <w:rPr>
          <w:rFonts w:cs="Arial"/>
          <w:b/>
          <w:sz w:val="20"/>
          <w:szCs w:val="20"/>
        </w:rPr>
      </w:pPr>
      <w:r w:rsidRPr="00B5607F">
        <w:rPr>
          <w:rFonts w:cs="Arial"/>
          <w:b/>
          <w:sz w:val="20"/>
          <w:szCs w:val="20"/>
        </w:rPr>
        <w:t>do limitu plnění 500 000 Kč</w:t>
      </w:r>
    </w:p>
    <w:p w14:paraId="260CAEB2" w14:textId="77777777" w:rsidR="00B5607F" w:rsidRDefault="00B5607F" w:rsidP="00B5607F">
      <w:pPr>
        <w:spacing w:after="120" w:line="280" w:lineRule="atLeast"/>
        <w:ind w:left="227"/>
        <w:rPr>
          <w:rFonts w:cs="Arial"/>
          <w:sz w:val="20"/>
          <w:szCs w:val="20"/>
        </w:rPr>
      </w:pPr>
      <w:r>
        <w:rPr>
          <w:rFonts w:cs="Arial"/>
          <w:sz w:val="20"/>
          <w:szCs w:val="20"/>
        </w:rPr>
        <w:t>Peníze a c</w:t>
      </w:r>
      <w:r w:rsidRPr="00B5607F">
        <w:rPr>
          <w:rFonts w:cs="Arial"/>
          <w:sz w:val="20"/>
          <w:szCs w:val="20"/>
        </w:rPr>
        <w:t>ennosti jsou přepravovány alespoň dvěma osobami uzavřeným osobním automobilem. Alespoň jedna z</w:t>
      </w:r>
      <w:r>
        <w:rPr>
          <w:rFonts w:cs="Arial"/>
          <w:sz w:val="20"/>
          <w:szCs w:val="20"/>
        </w:rPr>
        <w:t> </w:t>
      </w:r>
      <w:r w:rsidRPr="00B5607F">
        <w:rPr>
          <w:rFonts w:cs="Arial"/>
          <w:sz w:val="20"/>
          <w:szCs w:val="20"/>
        </w:rPr>
        <w:t>osob</w:t>
      </w:r>
      <w:r>
        <w:rPr>
          <w:rFonts w:cs="Arial"/>
          <w:sz w:val="20"/>
          <w:szCs w:val="20"/>
        </w:rPr>
        <w:t xml:space="preserve"> </w:t>
      </w:r>
      <w:r w:rsidRPr="00B5607F">
        <w:rPr>
          <w:rFonts w:cs="Arial"/>
          <w:sz w:val="20"/>
          <w:szCs w:val="20"/>
        </w:rPr>
        <w:t>musí být vybavena funkčním obranným prostředkem (např. sprejem) a peníze a cennosti jsou zároveň</w:t>
      </w:r>
      <w:r>
        <w:rPr>
          <w:rFonts w:cs="Arial"/>
          <w:sz w:val="20"/>
          <w:szCs w:val="20"/>
        </w:rPr>
        <w:t xml:space="preserve"> </w:t>
      </w:r>
      <w:r w:rsidRPr="00B5607F">
        <w:rPr>
          <w:rFonts w:cs="Arial"/>
          <w:sz w:val="20"/>
          <w:szCs w:val="20"/>
        </w:rPr>
        <w:t>uloženy v pevné, řádně uzavřené kabele nebo kufříku.</w:t>
      </w:r>
    </w:p>
    <w:p w14:paraId="67AE75CB" w14:textId="5162D1DB" w:rsidR="00CB10CF" w:rsidRPr="00B5607F" w:rsidRDefault="00CB10CF" w:rsidP="00CB10CF">
      <w:pPr>
        <w:spacing w:after="120" w:line="280" w:lineRule="atLeast"/>
        <w:ind w:left="227"/>
        <w:rPr>
          <w:rFonts w:cs="Arial"/>
          <w:b/>
          <w:sz w:val="20"/>
          <w:szCs w:val="20"/>
        </w:rPr>
      </w:pPr>
      <w:r w:rsidRPr="00CB10CF">
        <w:rPr>
          <w:rFonts w:cs="Arial"/>
          <w:b/>
          <w:sz w:val="20"/>
          <w:szCs w:val="20"/>
          <w:highlight w:val="yellow"/>
        </w:rPr>
        <w:t>V. Zvláštní ujednání k uměleckým dílům</w:t>
      </w:r>
    </w:p>
    <w:p w14:paraId="2996D00E" w14:textId="63705625" w:rsidR="00DF0C2C" w:rsidRDefault="00CB10CF" w:rsidP="00CB10CF">
      <w:pPr>
        <w:spacing w:after="120" w:line="280" w:lineRule="atLeast"/>
        <w:ind w:left="227"/>
        <w:rPr>
          <w:rFonts w:cs="Arial"/>
          <w:sz w:val="20"/>
          <w:szCs w:val="20"/>
        </w:rPr>
      </w:pPr>
      <w:r>
        <w:rPr>
          <w:rFonts w:cs="Arial"/>
          <w:sz w:val="20"/>
          <w:szCs w:val="20"/>
        </w:rPr>
        <w:t xml:space="preserve">Ujednává se, </w:t>
      </w:r>
      <w:r w:rsidRPr="00CB10CF">
        <w:rPr>
          <w:rFonts w:cs="Arial"/>
          <w:sz w:val="20"/>
          <w:szCs w:val="20"/>
        </w:rPr>
        <w:t>že pojistnou hodnotou pojištěných</w:t>
      </w:r>
      <w:r>
        <w:rPr>
          <w:rFonts w:cs="Arial"/>
          <w:sz w:val="20"/>
          <w:szCs w:val="20"/>
        </w:rPr>
        <w:t xml:space="preserve"> </w:t>
      </w:r>
      <w:r w:rsidRPr="00CB10CF">
        <w:rPr>
          <w:rFonts w:cs="Arial"/>
          <w:sz w:val="20"/>
          <w:szCs w:val="20"/>
        </w:rPr>
        <w:t>věcí je jiná hodnota. Jinou hodnotou je pro každý jednotlivý předmět pojištění částka stanovená</w:t>
      </w:r>
      <w:r>
        <w:rPr>
          <w:rFonts w:cs="Arial"/>
          <w:sz w:val="20"/>
          <w:szCs w:val="20"/>
        </w:rPr>
        <w:t xml:space="preserve"> </w:t>
      </w:r>
      <w:r w:rsidRPr="00CB10CF">
        <w:rPr>
          <w:rFonts w:cs="Arial"/>
          <w:sz w:val="20"/>
          <w:szCs w:val="20"/>
        </w:rPr>
        <w:t>dohodou</w:t>
      </w:r>
      <w:r>
        <w:rPr>
          <w:rFonts w:cs="Arial"/>
          <w:sz w:val="20"/>
          <w:szCs w:val="20"/>
        </w:rPr>
        <w:t>,</w:t>
      </w:r>
      <w:r w:rsidRPr="00CB10CF">
        <w:rPr>
          <w:rFonts w:cs="Arial"/>
          <w:sz w:val="20"/>
          <w:szCs w:val="20"/>
        </w:rPr>
        <w:t xml:space="preserve"> a to ve výši uvedené pro každý jednotlivý předmět pojištění</w:t>
      </w:r>
      <w:r>
        <w:rPr>
          <w:rFonts w:cs="Arial"/>
          <w:sz w:val="20"/>
          <w:szCs w:val="20"/>
        </w:rPr>
        <w:t>.</w:t>
      </w:r>
    </w:p>
    <w:p w14:paraId="3A3B70AF" w14:textId="16D23047" w:rsidR="00CB10CF" w:rsidRPr="00CB10CF" w:rsidRDefault="00CB10CF" w:rsidP="00CB10CF">
      <w:pPr>
        <w:spacing w:line="280" w:lineRule="atLeast"/>
        <w:ind w:left="227"/>
        <w:rPr>
          <w:rFonts w:cs="Arial"/>
          <w:sz w:val="20"/>
          <w:szCs w:val="20"/>
        </w:rPr>
      </w:pPr>
      <w:r w:rsidRPr="00CB10CF">
        <w:rPr>
          <w:rFonts w:cs="Arial"/>
          <w:sz w:val="20"/>
          <w:szCs w:val="20"/>
        </w:rPr>
        <w:t>Sjednává se, že se pojištění vztahuje i na případ úmyslného poškození či zničení pojištěné věci, včetně</w:t>
      </w:r>
      <w:r>
        <w:rPr>
          <w:rFonts w:cs="Arial"/>
          <w:sz w:val="20"/>
          <w:szCs w:val="20"/>
        </w:rPr>
        <w:t xml:space="preserve"> </w:t>
      </w:r>
      <w:r w:rsidRPr="00CB10CF">
        <w:rPr>
          <w:rFonts w:cs="Arial"/>
          <w:sz w:val="20"/>
          <w:szCs w:val="20"/>
        </w:rPr>
        <w:t>případu úmyslného poškození pojištěné věci malbami vytvořenými spreji a barvami (dále jen</w:t>
      </w:r>
    </w:p>
    <w:p w14:paraId="40FBFE8D" w14:textId="77777777" w:rsidR="00CB10CF" w:rsidRPr="00CB10CF" w:rsidRDefault="00CB10CF" w:rsidP="00CB10CF">
      <w:pPr>
        <w:spacing w:line="280" w:lineRule="atLeast"/>
        <w:ind w:left="227"/>
        <w:rPr>
          <w:rFonts w:cs="Arial"/>
          <w:sz w:val="20"/>
          <w:szCs w:val="20"/>
        </w:rPr>
      </w:pPr>
      <w:r w:rsidRPr="00CB10CF">
        <w:rPr>
          <w:rFonts w:cs="Arial"/>
          <w:sz w:val="20"/>
          <w:szCs w:val="20"/>
        </w:rPr>
        <w:t>vandalismus).</w:t>
      </w:r>
      <w:r>
        <w:rPr>
          <w:rFonts w:cs="Arial"/>
          <w:sz w:val="20"/>
          <w:szCs w:val="20"/>
        </w:rPr>
        <w:t xml:space="preserve"> </w:t>
      </w:r>
      <w:r w:rsidRPr="00CB10CF">
        <w:rPr>
          <w:rFonts w:cs="Arial"/>
          <w:sz w:val="20"/>
          <w:szCs w:val="20"/>
        </w:rPr>
        <w:t>Plnění pojistitele však za jeden předmět pojištění nesmí přesáhnout pojistnou hodnotu</w:t>
      </w:r>
    </w:p>
    <w:p w14:paraId="5BD70BE6" w14:textId="1E613F31" w:rsidR="00CB10CF" w:rsidRDefault="00CB10CF" w:rsidP="00CB10CF">
      <w:pPr>
        <w:spacing w:after="120" w:line="280" w:lineRule="atLeast"/>
        <w:ind w:left="227"/>
        <w:rPr>
          <w:rFonts w:cs="Arial"/>
          <w:sz w:val="20"/>
          <w:szCs w:val="20"/>
        </w:rPr>
      </w:pPr>
      <w:r w:rsidRPr="00CB10CF">
        <w:rPr>
          <w:rFonts w:cs="Arial"/>
          <w:sz w:val="20"/>
          <w:szCs w:val="20"/>
        </w:rPr>
        <w:t>pojištěné věci.</w:t>
      </w:r>
    </w:p>
    <w:p w14:paraId="00E821AB" w14:textId="77777777" w:rsidR="005316FB" w:rsidRDefault="005316FB" w:rsidP="00CB10CF">
      <w:pPr>
        <w:spacing w:after="120" w:line="280" w:lineRule="atLeast"/>
        <w:ind w:left="227"/>
        <w:rPr>
          <w:rFonts w:cs="Arial"/>
          <w:sz w:val="20"/>
          <w:szCs w:val="20"/>
        </w:rPr>
      </w:pPr>
      <w:r w:rsidRPr="005316FB">
        <w:rPr>
          <w:rFonts w:cs="Arial"/>
          <w:sz w:val="20"/>
          <w:szCs w:val="20"/>
        </w:rPr>
        <w:t xml:space="preserve">Do souboru uměleckých děl jsou zahrnuta díla, která jsou ve vlastnictví Univerzity Palackého </w:t>
      </w:r>
      <w:r>
        <w:rPr>
          <w:rFonts w:cs="Arial"/>
          <w:sz w:val="20"/>
          <w:szCs w:val="20"/>
        </w:rPr>
        <w:br/>
      </w:r>
      <w:r w:rsidRPr="005316FB">
        <w:rPr>
          <w:rFonts w:cs="Arial"/>
          <w:sz w:val="20"/>
          <w:szCs w:val="20"/>
        </w:rPr>
        <w:t xml:space="preserve">v Olomouci nebo ve vlastnictví třetích osob, kdy je Univerzita Palackého v Olomouci užívá na základě smluvního vztahu za účelem provedení výstavy. </w:t>
      </w:r>
    </w:p>
    <w:p w14:paraId="55245AEE" w14:textId="032E2C60" w:rsidR="005316FB" w:rsidRDefault="005316FB" w:rsidP="00CB10CF">
      <w:pPr>
        <w:spacing w:after="120" w:line="280" w:lineRule="atLeast"/>
        <w:ind w:left="227"/>
        <w:rPr>
          <w:rFonts w:cs="Arial"/>
          <w:sz w:val="20"/>
          <w:szCs w:val="20"/>
        </w:rPr>
      </w:pPr>
      <w:r w:rsidRPr="005316FB">
        <w:rPr>
          <w:rFonts w:cs="Arial"/>
          <w:sz w:val="20"/>
          <w:szCs w:val="20"/>
        </w:rPr>
        <w:t xml:space="preserve">Do souboru uměleckých děl jsou zahrnuta i další díla, která nejsou uvedena v </w:t>
      </w:r>
      <w:r>
        <w:rPr>
          <w:rFonts w:cs="Arial"/>
          <w:sz w:val="20"/>
          <w:szCs w:val="20"/>
        </w:rPr>
        <w:t>„</w:t>
      </w:r>
      <w:r w:rsidRPr="005316FB">
        <w:rPr>
          <w:rFonts w:cs="Arial"/>
          <w:sz w:val="20"/>
          <w:szCs w:val="20"/>
        </w:rPr>
        <w:t xml:space="preserve">Seznamu </w:t>
      </w:r>
      <w:r>
        <w:rPr>
          <w:rFonts w:cs="Arial"/>
          <w:sz w:val="20"/>
          <w:szCs w:val="20"/>
        </w:rPr>
        <w:t>uměleckých děl“</w:t>
      </w:r>
      <w:r w:rsidRPr="005316FB">
        <w:rPr>
          <w:rFonts w:cs="Arial"/>
          <w:sz w:val="20"/>
          <w:szCs w:val="20"/>
        </w:rPr>
        <w:t>).</w:t>
      </w:r>
    </w:p>
    <w:p w14:paraId="290E7D4B" w14:textId="77777777" w:rsidR="00CB10CF" w:rsidRDefault="00CB10CF" w:rsidP="003A73E4">
      <w:pPr>
        <w:spacing w:after="120" w:line="280" w:lineRule="atLeast"/>
        <w:rPr>
          <w:rFonts w:cs="Arial"/>
          <w:sz w:val="20"/>
          <w:szCs w:val="20"/>
        </w:rPr>
      </w:pPr>
    </w:p>
    <w:p w14:paraId="406DDDB3" w14:textId="09C6C596" w:rsidR="00CB10CF" w:rsidRDefault="00CB10CF" w:rsidP="003A73E4">
      <w:pPr>
        <w:spacing w:after="120" w:line="280" w:lineRule="atLeast"/>
        <w:rPr>
          <w:rFonts w:cs="Arial"/>
          <w:sz w:val="20"/>
          <w:szCs w:val="20"/>
        </w:rPr>
        <w:sectPr w:rsidR="00CB10CF" w:rsidSect="00024FD6">
          <w:headerReference w:type="default" r:id="rId8"/>
          <w:footerReference w:type="default" r:id="rId9"/>
          <w:type w:val="continuous"/>
          <w:pgSz w:w="11906" w:h="16838" w:code="9"/>
          <w:pgMar w:top="57" w:right="1418" w:bottom="1134" w:left="1418" w:header="1191" w:footer="567" w:gutter="0"/>
          <w:cols w:space="708"/>
          <w:docGrid w:linePitch="360"/>
        </w:sectPr>
      </w:pPr>
    </w:p>
    <w:p w14:paraId="3127CCDB" w14:textId="77777777" w:rsidR="008669F0" w:rsidRDefault="008669F0">
      <w:pPr>
        <w:jc w:val="left"/>
        <w:rPr>
          <w:b/>
          <w:sz w:val="24"/>
        </w:rPr>
      </w:pPr>
      <w:r>
        <w:br w:type="page"/>
      </w:r>
    </w:p>
    <w:p w14:paraId="59A1BEFB" w14:textId="77777777" w:rsidR="008669F0" w:rsidRPr="008669F0" w:rsidRDefault="008669F0" w:rsidP="008669F0">
      <w:pPr>
        <w:pStyle w:val="Zkladntext"/>
        <w:spacing w:line="280" w:lineRule="atLeast"/>
        <w:jc w:val="both"/>
        <w:rPr>
          <w:rFonts w:ascii="Arial" w:hAnsi="Arial" w:cs="Arial"/>
          <w:b w:val="0"/>
          <w:bCs/>
          <w:i w:val="0"/>
          <w:sz w:val="20"/>
          <w:u w:val="none"/>
        </w:rPr>
      </w:pPr>
    </w:p>
    <w:p w14:paraId="51DEE621" w14:textId="38421162" w:rsidR="00450AC2" w:rsidRPr="00B90A7C" w:rsidRDefault="00450AC2" w:rsidP="008669F0">
      <w:pPr>
        <w:pStyle w:val="Nadpis2"/>
        <w:spacing w:before="0" w:after="120"/>
        <w:ind w:left="578" w:hanging="578"/>
        <w:rPr>
          <w:color w:val="auto"/>
          <w:szCs w:val="24"/>
        </w:rPr>
      </w:pPr>
      <w:r w:rsidRPr="00B90A7C">
        <w:rPr>
          <w:color w:val="auto"/>
          <w:szCs w:val="24"/>
        </w:rPr>
        <w:t>Odpovědnost</w:t>
      </w:r>
    </w:p>
    <w:p w14:paraId="78FDAE6D" w14:textId="795C2FCB" w:rsidR="00450AC2" w:rsidRPr="003F5E50" w:rsidRDefault="003F5E50" w:rsidP="002D58DD">
      <w:pPr>
        <w:pStyle w:val="Odstavecseseznamem"/>
        <w:numPr>
          <w:ilvl w:val="0"/>
          <w:numId w:val="21"/>
        </w:numPr>
        <w:spacing w:after="120" w:line="280" w:lineRule="atLeast"/>
        <w:ind w:left="567" w:hanging="567"/>
        <w:rPr>
          <w:rFonts w:cs="Arial"/>
          <w:sz w:val="20"/>
          <w:szCs w:val="20"/>
        </w:rPr>
      </w:pPr>
      <w:r w:rsidRPr="003F5E50">
        <w:rPr>
          <w:b/>
          <w:sz w:val="20"/>
          <w:szCs w:val="20"/>
        </w:rPr>
        <w:t>Loss occurrence</w:t>
      </w:r>
      <w:r w:rsidR="002D58DD">
        <w:rPr>
          <w:b/>
          <w:sz w:val="20"/>
          <w:szCs w:val="20"/>
        </w:rPr>
        <w:t xml:space="preserve"> </w:t>
      </w:r>
      <w:r w:rsidR="002D58DD" w:rsidRPr="002D58DD">
        <w:rPr>
          <w:b/>
          <w:sz w:val="20"/>
          <w:szCs w:val="20"/>
        </w:rPr>
        <w:t>– obecná odpovědnost za újmu a odpovědnost za újmu způsobenou vadou výrobku a vadou práce po předání</w:t>
      </w:r>
    </w:p>
    <w:p w14:paraId="37198F53" w14:textId="77777777" w:rsidR="00450AC2" w:rsidRDefault="00450AC2" w:rsidP="003A73E4">
      <w:pPr>
        <w:pStyle w:val="Zkladntext"/>
        <w:spacing w:after="120" w:line="280" w:lineRule="atLeast"/>
        <w:jc w:val="both"/>
        <w:rPr>
          <w:rFonts w:ascii="Arial" w:hAnsi="Arial" w:cs="Arial"/>
          <w:b w:val="0"/>
          <w:bCs/>
          <w:i w:val="0"/>
          <w:sz w:val="20"/>
          <w:u w:val="none"/>
        </w:rPr>
      </w:pPr>
      <w:r w:rsidRPr="00B90A7C">
        <w:rPr>
          <w:rFonts w:ascii="Arial" w:hAnsi="Arial" w:cs="Arial"/>
          <w:b w:val="0"/>
          <w:bCs/>
          <w:i w:val="0"/>
          <w:sz w:val="20"/>
          <w:u w:val="none"/>
        </w:rPr>
        <w:t xml:space="preserve">Pojistnou událostí se rozumí vznik </w:t>
      </w:r>
      <w:r w:rsidR="00DF0C2C">
        <w:rPr>
          <w:rFonts w:ascii="Arial" w:hAnsi="Arial" w:cs="Arial"/>
          <w:b w:val="0"/>
          <w:bCs/>
          <w:i w:val="0"/>
          <w:sz w:val="20"/>
          <w:u w:val="none"/>
        </w:rPr>
        <w:t>újmy/</w:t>
      </w:r>
      <w:r w:rsidRPr="00B90A7C">
        <w:rPr>
          <w:rFonts w:ascii="Arial" w:hAnsi="Arial" w:cs="Arial"/>
          <w:b w:val="0"/>
          <w:bCs/>
          <w:i w:val="0"/>
          <w:sz w:val="20"/>
          <w:u w:val="none"/>
        </w:rPr>
        <w:t xml:space="preserve">škody, za kterou pojištěný/pojistník právně odpovídá, a která nastala v průběhu trvání pojištění v důsledku jednání pojištěného/pojistníka nebo jiné skutečnosti </w:t>
      </w:r>
      <w:r w:rsidR="000D1B4D">
        <w:rPr>
          <w:rFonts w:ascii="Arial" w:hAnsi="Arial" w:cs="Arial"/>
          <w:b w:val="0"/>
          <w:bCs/>
          <w:i w:val="0"/>
          <w:sz w:val="20"/>
          <w:u w:val="none"/>
        </w:rPr>
        <w:br/>
      </w:r>
      <w:r w:rsidRPr="00B90A7C">
        <w:rPr>
          <w:rFonts w:ascii="Arial" w:hAnsi="Arial" w:cs="Arial"/>
          <w:b w:val="0"/>
          <w:bCs/>
          <w:i w:val="0"/>
          <w:sz w:val="20"/>
          <w:u w:val="none"/>
        </w:rPr>
        <w:t xml:space="preserve">v přímé souvislosti s činností pojištěného/pojistníka, a to bez ohledu na to, kdy nastala příčina takové </w:t>
      </w:r>
      <w:r w:rsidR="00DF0C2C">
        <w:rPr>
          <w:rFonts w:ascii="Arial" w:hAnsi="Arial" w:cs="Arial"/>
          <w:b w:val="0"/>
          <w:bCs/>
          <w:i w:val="0"/>
          <w:sz w:val="20"/>
          <w:u w:val="none"/>
        </w:rPr>
        <w:t>újmy/</w:t>
      </w:r>
      <w:r w:rsidRPr="00B90A7C">
        <w:rPr>
          <w:rFonts w:ascii="Arial" w:hAnsi="Arial" w:cs="Arial"/>
          <w:b w:val="0"/>
          <w:bCs/>
          <w:i w:val="0"/>
          <w:sz w:val="20"/>
          <w:u w:val="none"/>
        </w:rPr>
        <w:t>škody nebo kdy byl vznesen nárok na její náhradu.</w:t>
      </w:r>
    </w:p>
    <w:p w14:paraId="1A99EFB4" w14:textId="23E15827" w:rsidR="002D58DD" w:rsidRPr="00B90A7C" w:rsidRDefault="002D58DD" w:rsidP="003A73E4">
      <w:pPr>
        <w:pStyle w:val="Zkladntext"/>
        <w:spacing w:after="120" w:line="280" w:lineRule="atLeast"/>
        <w:jc w:val="both"/>
        <w:rPr>
          <w:rFonts w:ascii="Arial" w:hAnsi="Arial" w:cs="Arial"/>
          <w:b w:val="0"/>
          <w:bCs/>
          <w:i w:val="0"/>
          <w:sz w:val="20"/>
          <w:u w:val="none"/>
        </w:rPr>
      </w:pPr>
      <w:r w:rsidRPr="002D58DD">
        <w:rPr>
          <w:rFonts w:ascii="Arial" w:hAnsi="Arial" w:cs="Arial"/>
          <w:i w:val="0"/>
          <w:sz w:val="20"/>
          <w:u w:val="none"/>
        </w:rPr>
        <w:t>Claims made</w:t>
      </w:r>
      <w:r w:rsidRPr="002D58DD">
        <w:rPr>
          <w:rFonts w:ascii="Arial" w:hAnsi="Arial" w:cs="Arial"/>
          <w:b w:val="0"/>
          <w:bCs/>
          <w:i w:val="0"/>
          <w:sz w:val="20"/>
          <w:u w:val="none"/>
        </w:rPr>
        <w:t xml:space="preserve"> – profesní odpovědnost nestátního zdravotnického zařízení, retroaktivní datum 01.01.2015</w:t>
      </w:r>
    </w:p>
    <w:p w14:paraId="6A9C2337" w14:textId="77777777" w:rsidR="00C621DD" w:rsidRPr="00C621DD" w:rsidRDefault="00C621DD" w:rsidP="00C621DD">
      <w:pPr>
        <w:pStyle w:val="Odstavecseseznamem"/>
        <w:numPr>
          <w:ilvl w:val="0"/>
          <w:numId w:val="21"/>
        </w:numPr>
        <w:spacing w:before="120" w:after="120" w:line="280" w:lineRule="atLeast"/>
        <w:ind w:left="284" w:hanging="284"/>
        <w:rPr>
          <w:rFonts w:cs="Arial"/>
          <w:b/>
          <w:bCs/>
          <w:sz w:val="20"/>
        </w:rPr>
      </w:pPr>
      <w:r w:rsidRPr="00C621DD">
        <w:rPr>
          <w:rFonts w:cs="Arial"/>
          <w:b/>
          <w:bCs/>
          <w:sz w:val="20"/>
        </w:rPr>
        <w:t>Prodloužení konce pojištění – pravomocnost rozhodnutí</w:t>
      </w:r>
    </w:p>
    <w:p w14:paraId="02FFDA70" w14:textId="7FDEA1B2" w:rsidR="008669F0" w:rsidRDefault="00450AC2" w:rsidP="00C621DD">
      <w:pPr>
        <w:spacing w:after="120" w:line="280" w:lineRule="atLeast"/>
        <w:rPr>
          <w:rFonts w:cs="Arial"/>
          <w:sz w:val="20"/>
          <w:szCs w:val="20"/>
        </w:rPr>
      </w:pPr>
      <w:r w:rsidRPr="00C621DD">
        <w:rPr>
          <w:rFonts w:cs="Arial"/>
          <w:sz w:val="20"/>
          <w:szCs w:val="20"/>
        </w:rPr>
        <w:t xml:space="preserve">Pokud o náhradě </w:t>
      </w:r>
      <w:r w:rsidR="00DF0C2C" w:rsidRPr="00C621DD">
        <w:rPr>
          <w:rFonts w:cs="Arial"/>
          <w:sz w:val="20"/>
          <w:szCs w:val="20"/>
        </w:rPr>
        <w:t>újmy/</w:t>
      </w:r>
      <w:r w:rsidRPr="00C621DD">
        <w:rPr>
          <w:rFonts w:cs="Arial"/>
          <w:sz w:val="20"/>
          <w:szCs w:val="20"/>
        </w:rPr>
        <w:t xml:space="preserve">škody rozhoduje příslušný orgán, platí, že pojistná událost nastala teprve dnem, kdy rozhodnutí tohoto orgánu nabylo právní moci. Do doby, kdy rozhodnutí o </w:t>
      </w:r>
      <w:r w:rsidR="00DF0C2C" w:rsidRPr="00C621DD">
        <w:rPr>
          <w:rFonts w:cs="Arial"/>
          <w:sz w:val="20"/>
          <w:szCs w:val="20"/>
        </w:rPr>
        <w:t>újmě/</w:t>
      </w:r>
      <w:r w:rsidRPr="00C621DD">
        <w:rPr>
          <w:rFonts w:cs="Arial"/>
          <w:sz w:val="20"/>
          <w:szCs w:val="20"/>
        </w:rPr>
        <w:t xml:space="preserve">škodě nabude právní moci, trvá ve vztahu k této </w:t>
      </w:r>
      <w:r w:rsidR="00DF0C2C" w:rsidRPr="00C621DD">
        <w:rPr>
          <w:rFonts w:cs="Arial"/>
          <w:sz w:val="20"/>
          <w:szCs w:val="20"/>
        </w:rPr>
        <w:t>újmě/</w:t>
      </w:r>
      <w:r w:rsidRPr="00C621DD">
        <w:rPr>
          <w:rFonts w:cs="Arial"/>
          <w:sz w:val="20"/>
          <w:szCs w:val="20"/>
        </w:rPr>
        <w:t>škodě pojistná ochrana dle této smlouvy bez ohledu na sjednaný konec pojištění.</w:t>
      </w:r>
    </w:p>
    <w:p w14:paraId="2C6BABEB" w14:textId="77777777" w:rsidR="00450AC2" w:rsidRPr="00C621DD" w:rsidRDefault="00450AC2" w:rsidP="008669F0">
      <w:pPr>
        <w:pStyle w:val="Odstavecseseznamem"/>
        <w:numPr>
          <w:ilvl w:val="0"/>
          <w:numId w:val="21"/>
        </w:numPr>
        <w:spacing w:after="120" w:line="280" w:lineRule="atLeast"/>
        <w:ind w:left="284" w:hanging="284"/>
        <w:rPr>
          <w:rFonts w:cs="Arial"/>
          <w:b/>
          <w:sz w:val="20"/>
          <w:szCs w:val="20"/>
        </w:rPr>
      </w:pPr>
      <w:r w:rsidRPr="00C621DD">
        <w:rPr>
          <w:rFonts w:cs="Arial"/>
          <w:b/>
          <w:sz w:val="20"/>
          <w:szCs w:val="20"/>
        </w:rPr>
        <w:t>Věci užívané – nemovitosti</w:t>
      </w:r>
    </w:p>
    <w:p w14:paraId="39AF16D0" w14:textId="77777777" w:rsidR="00B630C3" w:rsidRDefault="00450AC2" w:rsidP="003A73E4">
      <w:pPr>
        <w:spacing w:after="120" w:line="280" w:lineRule="atLeast"/>
        <w:rPr>
          <w:rFonts w:cs="Arial"/>
          <w:sz w:val="20"/>
          <w:szCs w:val="20"/>
        </w:rPr>
      </w:pPr>
      <w:r w:rsidRPr="00B90A7C">
        <w:rPr>
          <w:rFonts w:cs="Arial"/>
          <w:sz w:val="20"/>
          <w:szCs w:val="20"/>
        </w:rPr>
        <w:t xml:space="preserve">V případě sjednaného pojistného krytí pro </w:t>
      </w:r>
      <w:r w:rsidR="003F5E50">
        <w:rPr>
          <w:rFonts w:cs="Arial"/>
          <w:sz w:val="20"/>
          <w:szCs w:val="20"/>
        </w:rPr>
        <w:t>újmu/</w:t>
      </w:r>
      <w:r w:rsidRPr="00B90A7C">
        <w:rPr>
          <w:rFonts w:cs="Arial"/>
          <w:sz w:val="20"/>
          <w:szCs w:val="20"/>
        </w:rPr>
        <w:t>škod</w:t>
      </w:r>
      <w:r w:rsidR="003F5E50">
        <w:rPr>
          <w:rFonts w:cs="Arial"/>
          <w:sz w:val="20"/>
          <w:szCs w:val="20"/>
        </w:rPr>
        <w:t>u</w:t>
      </w:r>
      <w:r w:rsidRPr="00B90A7C">
        <w:rPr>
          <w:rFonts w:cs="Arial"/>
          <w:sz w:val="20"/>
          <w:szCs w:val="20"/>
        </w:rPr>
        <w:t xml:space="preserve"> na věcech převzatých nebo užívaných se toto připojištění vztahuje také na nemovitosti. </w:t>
      </w:r>
    </w:p>
    <w:p w14:paraId="0D0AFC23" w14:textId="77777777" w:rsidR="00450AC2" w:rsidRPr="00C621DD" w:rsidRDefault="00450AC2" w:rsidP="00C621DD">
      <w:pPr>
        <w:pStyle w:val="Odstavecseseznamem"/>
        <w:numPr>
          <w:ilvl w:val="0"/>
          <w:numId w:val="21"/>
        </w:numPr>
        <w:spacing w:before="120" w:after="120" w:line="280" w:lineRule="atLeast"/>
        <w:ind w:left="284" w:hanging="284"/>
        <w:rPr>
          <w:rFonts w:cs="Arial"/>
          <w:b/>
          <w:sz w:val="20"/>
          <w:szCs w:val="20"/>
        </w:rPr>
      </w:pPr>
      <w:r w:rsidRPr="00C621DD">
        <w:rPr>
          <w:rFonts w:cs="Arial"/>
          <w:b/>
          <w:sz w:val="20"/>
          <w:szCs w:val="20"/>
        </w:rPr>
        <w:t>Odpovědnost z držby nemovitosti</w:t>
      </w:r>
    </w:p>
    <w:p w14:paraId="797784A2" w14:textId="77777777" w:rsidR="00450AC2" w:rsidRPr="00B90A7C" w:rsidRDefault="00450AC2" w:rsidP="003A73E4">
      <w:pPr>
        <w:spacing w:after="120" w:line="280" w:lineRule="atLeast"/>
        <w:rPr>
          <w:rFonts w:cs="Arial"/>
          <w:sz w:val="20"/>
          <w:szCs w:val="20"/>
        </w:rPr>
      </w:pPr>
      <w:r w:rsidRPr="00B90A7C">
        <w:rPr>
          <w:rFonts w:cs="Arial"/>
          <w:sz w:val="20"/>
          <w:szCs w:val="20"/>
        </w:rPr>
        <w:t xml:space="preserve">Toto pojištění se vztahuje i na odpovědnost za </w:t>
      </w:r>
      <w:r w:rsidR="00DF0C2C">
        <w:rPr>
          <w:rFonts w:cs="Arial"/>
          <w:sz w:val="20"/>
          <w:szCs w:val="20"/>
        </w:rPr>
        <w:t>újmu/</w:t>
      </w:r>
      <w:r w:rsidRPr="00B90A7C">
        <w:rPr>
          <w:rFonts w:cs="Arial"/>
          <w:sz w:val="20"/>
          <w:szCs w:val="20"/>
        </w:rPr>
        <w:t xml:space="preserve">škodu způsobenou výkonem vlastnických práv </w:t>
      </w:r>
      <w:r w:rsidR="00DF0C2C">
        <w:rPr>
          <w:rFonts w:cs="Arial"/>
          <w:sz w:val="20"/>
          <w:szCs w:val="20"/>
        </w:rPr>
        <w:br/>
      </w:r>
      <w:r w:rsidRPr="00B90A7C">
        <w:rPr>
          <w:rFonts w:cs="Arial"/>
          <w:sz w:val="20"/>
          <w:szCs w:val="20"/>
        </w:rPr>
        <w:t xml:space="preserve">k nemovitostem, správou a provozem těchto nemovitostí. </w:t>
      </w:r>
    </w:p>
    <w:p w14:paraId="79282459" w14:textId="77777777" w:rsidR="00450AC2" w:rsidRPr="003F5E50" w:rsidRDefault="00450AC2" w:rsidP="003F5E50">
      <w:pPr>
        <w:pStyle w:val="Odstavecseseznamem"/>
        <w:numPr>
          <w:ilvl w:val="0"/>
          <w:numId w:val="21"/>
        </w:numPr>
        <w:spacing w:before="120" w:after="120" w:line="280" w:lineRule="atLeast"/>
        <w:ind w:left="284" w:hanging="284"/>
        <w:rPr>
          <w:rFonts w:cs="Arial"/>
          <w:b/>
          <w:sz w:val="20"/>
          <w:szCs w:val="20"/>
        </w:rPr>
      </w:pPr>
      <w:r w:rsidRPr="003F5E50">
        <w:rPr>
          <w:rFonts w:cs="Arial"/>
          <w:b/>
          <w:sz w:val="20"/>
          <w:szCs w:val="20"/>
        </w:rPr>
        <w:t>Regresy zdravotní pojišťovny</w:t>
      </w:r>
    </w:p>
    <w:p w14:paraId="00399815" w14:textId="158F8FA8" w:rsidR="00F41E3A" w:rsidRDefault="00450AC2" w:rsidP="003215C5">
      <w:pPr>
        <w:spacing w:after="120" w:line="280" w:lineRule="atLeast"/>
        <w:rPr>
          <w:rFonts w:cs="Arial"/>
          <w:sz w:val="20"/>
          <w:szCs w:val="20"/>
        </w:rPr>
      </w:pPr>
      <w:r w:rsidRPr="00B90A7C">
        <w:rPr>
          <w:rFonts w:cs="Arial"/>
          <w:sz w:val="20"/>
          <w:szCs w:val="20"/>
        </w:rPr>
        <w:t xml:space="preserve">Odpovědnost za škodu způsobenou zdravotní pojišťovně vynaložením nákladů na poskytnutou zdravotní péči hrazenou ze zdravotního pojištění při poškození zdraví nebo života v důsledku nedbalostního protiprávního jednání pojištěného. Pojištění se vztahuje na třetí osoby i zaměstnance pojištěného. </w:t>
      </w:r>
    </w:p>
    <w:p w14:paraId="7A1EEC11" w14:textId="195724A3" w:rsidR="005B61A6" w:rsidRPr="005B61A6" w:rsidRDefault="00450AC2" w:rsidP="005B61A6">
      <w:pPr>
        <w:pStyle w:val="Odstavecseseznamem"/>
        <w:numPr>
          <w:ilvl w:val="0"/>
          <w:numId w:val="21"/>
        </w:numPr>
        <w:spacing w:before="120" w:after="120" w:line="280" w:lineRule="atLeast"/>
        <w:ind w:left="284" w:hanging="284"/>
        <w:rPr>
          <w:rFonts w:cs="Arial"/>
          <w:b/>
          <w:sz w:val="20"/>
          <w:szCs w:val="20"/>
        </w:rPr>
      </w:pPr>
      <w:r w:rsidRPr="003F5E50">
        <w:rPr>
          <w:rFonts w:cs="Arial"/>
          <w:b/>
          <w:sz w:val="20"/>
          <w:szCs w:val="20"/>
        </w:rPr>
        <w:t xml:space="preserve">Regresní nároky </w:t>
      </w:r>
      <w:r w:rsidR="002C15F3">
        <w:rPr>
          <w:rFonts w:cs="Arial"/>
          <w:b/>
          <w:sz w:val="20"/>
          <w:szCs w:val="20"/>
        </w:rPr>
        <w:t>–</w:t>
      </w:r>
      <w:r w:rsidRPr="003F5E50">
        <w:rPr>
          <w:rFonts w:cs="Arial"/>
          <w:b/>
          <w:sz w:val="20"/>
          <w:szCs w:val="20"/>
        </w:rPr>
        <w:t xml:space="preserve"> nemocenské</w:t>
      </w:r>
      <w:r w:rsidR="002C15F3">
        <w:rPr>
          <w:rFonts w:cs="Arial"/>
          <w:b/>
          <w:sz w:val="20"/>
          <w:szCs w:val="20"/>
        </w:rPr>
        <w:t xml:space="preserve"> </w:t>
      </w:r>
      <w:r w:rsidRPr="003F5E50">
        <w:rPr>
          <w:rFonts w:cs="Arial"/>
          <w:b/>
          <w:sz w:val="20"/>
          <w:szCs w:val="20"/>
        </w:rPr>
        <w:t>pojištění</w:t>
      </w:r>
    </w:p>
    <w:p w14:paraId="0F53454F" w14:textId="77777777" w:rsidR="00450AC2" w:rsidRDefault="00450AC2" w:rsidP="003A73E4">
      <w:pPr>
        <w:spacing w:after="120" w:line="280" w:lineRule="atLeast"/>
        <w:rPr>
          <w:rFonts w:cs="Arial"/>
          <w:sz w:val="20"/>
          <w:szCs w:val="20"/>
        </w:rPr>
      </w:pPr>
      <w:r w:rsidRPr="00B90A7C">
        <w:rPr>
          <w:rFonts w:cs="Arial"/>
          <w:sz w:val="20"/>
          <w:szCs w:val="20"/>
        </w:rPr>
        <w:t xml:space="preserve">Pojištění se vztahuje též na případy nároku orgánu nemocenského pojištění vůči pojištěnému </w:t>
      </w:r>
      <w:r w:rsidR="000D1B4D">
        <w:rPr>
          <w:rFonts w:cs="Arial"/>
          <w:sz w:val="20"/>
          <w:szCs w:val="20"/>
        </w:rPr>
        <w:br/>
      </w:r>
      <w:r w:rsidRPr="00B90A7C">
        <w:rPr>
          <w:rFonts w:cs="Arial"/>
          <w:sz w:val="20"/>
          <w:szCs w:val="20"/>
        </w:rPr>
        <w:t xml:space="preserve">na regresní náhradu vyplacených dávek nemocenského pojištění (např. §126 zákona č. 187/2006 Sb., o nemocenském pojištění). </w:t>
      </w:r>
    </w:p>
    <w:p w14:paraId="26702280" w14:textId="291508A5" w:rsidR="00C405DF" w:rsidRPr="00C405DF" w:rsidRDefault="00C405DF" w:rsidP="00634BF8">
      <w:pPr>
        <w:pStyle w:val="Odstavecseseznamem"/>
        <w:numPr>
          <w:ilvl w:val="0"/>
          <w:numId w:val="21"/>
        </w:numPr>
        <w:spacing w:before="120" w:after="120" w:line="280" w:lineRule="atLeast"/>
        <w:ind w:left="284" w:hanging="284"/>
        <w:rPr>
          <w:rFonts w:cs="Arial"/>
          <w:b/>
          <w:sz w:val="20"/>
          <w:szCs w:val="20"/>
        </w:rPr>
      </w:pPr>
      <w:r w:rsidRPr="00C405DF">
        <w:rPr>
          <w:rFonts w:cs="Arial"/>
          <w:b/>
          <w:sz w:val="20"/>
          <w:szCs w:val="20"/>
        </w:rPr>
        <w:t>Výzkumný projekt Národního ústavu pro výzkum</w:t>
      </w:r>
      <w:r>
        <w:rPr>
          <w:rFonts w:cs="Arial"/>
          <w:b/>
          <w:sz w:val="20"/>
          <w:szCs w:val="20"/>
        </w:rPr>
        <w:t xml:space="preserve"> </w:t>
      </w:r>
      <w:r w:rsidRPr="00C405DF">
        <w:rPr>
          <w:rFonts w:cs="Arial"/>
          <w:b/>
          <w:sz w:val="20"/>
          <w:szCs w:val="20"/>
        </w:rPr>
        <w:t>rakoviny – NÚVR</w:t>
      </w:r>
    </w:p>
    <w:p w14:paraId="052061C4" w14:textId="7BB04F0B" w:rsidR="00C405DF" w:rsidRDefault="00C405DF" w:rsidP="00C405DF">
      <w:pPr>
        <w:spacing w:line="280" w:lineRule="atLeast"/>
        <w:rPr>
          <w:rFonts w:cs="Arial"/>
          <w:sz w:val="20"/>
          <w:szCs w:val="20"/>
        </w:rPr>
      </w:pPr>
      <w:r w:rsidRPr="00C405DF">
        <w:rPr>
          <w:rFonts w:cs="Arial"/>
          <w:sz w:val="20"/>
          <w:szCs w:val="20"/>
        </w:rPr>
        <w:t xml:space="preserve">V rámci </w:t>
      </w:r>
      <w:r>
        <w:rPr>
          <w:rFonts w:cs="Arial"/>
          <w:sz w:val="20"/>
          <w:szCs w:val="20"/>
        </w:rPr>
        <w:t>sjednaného limitu plnění</w:t>
      </w:r>
      <w:r w:rsidRPr="00C405DF">
        <w:rPr>
          <w:rFonts w:cs="Arial"/>
          <w:sz w:val="20"/>
          <w:szCs w:val="20"/>
        </w:rPr>
        <w:t xml:space="preserve"> se sjednává </w:t>
      </w:r>
      <w:r>
        <w:rPr>
          <w:rFonts w:cs="Arial"/>
          <w:sz w:val="20"/>
          <w:szCs w:val="20"/>
        </w:rPr>
        <w:t>sub</w:t>
      </w:r>
      <w:r w:rsidRPr="00C405DF">
        <w:rPr>
          <w:rFonts w:cs="Arial"/>
          <w:sz w:val="20"/>
          <w:szCs w:val="20"/>
        </w:rPr>
        <w:t>limit pojistného plnění na pojistnou událost ve výši</w:t>
      </w:r>
      <w:r>
        <w:rPr>
          <w:rFonts w:cs="Arial"/>
          <w:sz w:val="20"/>
          <w:szCs w:val="20"/>
        </w:rPr>
        <w:t xml:space="preserve"> </w:t>
      </w:r>
      <w:r>
        <w:rPr>
          <w:rFonts w:cs="Arial"/>
          <w:sz w:val="20"/>
          <w:szCs w:val="20"/>
        </w:rPr>
        <w:br/>
      </w:r>
      <w:r w:rsidRPr="00C405DF">
        <w:rPr>
          <w:rFonts w:cs="Arial"/>
          <w:sz w:val="20"/>
          <w:szCs w:val="20"/>
        </w:rPr>
        <w:t>30</w:t>
      </w:r>
      <w:r>
        <w:rPr>
          <w:rFonts w:cs="Arial"/>
          <w:sz w:val="20"/>
          <w:szCs w:val="20"/>
        </w:rPr>
        <w:t> </w:t>
      </w:r>
      <w:r w:rsidRPr="00C405DF">
        <w:rPr>
          <w:rFonts w:cs="Arial"/>
          <w:sz w:val="20"/>
          <w:szCs w:val="20"/>
        </w:rPr>
        <w:t>000</w:t>
      </w:r>
      <w:r>
        <w:rPr>
          <w:rFonts w:cs="Arial"/>
          <w:sz w:val="20"/>
          <w:szCs w:val="20"/>
        </w:rPr>
        <w:t> </w:t>
      </w:r>
      <w:r w:rsidRPr="00C405DF">
        <w:rPr>
          <w:rFonts w:cs="Arial"/>
          <w:sz w:val="20"/>
          <w:szCs w:val="20"/>
        </w:rPr>
        <w:t>000</w:t>
      </w:r>
      <w:r>
        <w:rPr>
          <w:rFonts w:cs="Arial"/>
          <w:sz w:val="20"/>
          <w:szCs w:val="20"/>
        </w:rPr>
        <w:t xml:space="preserve"> </w:t>
      </w:r>
      <w:r w:rsidRPr="00C405DF">
        <w:rPr>
          <w:rFonts w:cs="Arial"/>
          <w:sz w:val="20"/>
          <w:szCs w:val="20"/>
        </w:rPr>
        <w:t>Kč</w:t>
      </w:r>
      <w:r>
        <w:rPr>
          <w:rFonts w:cs="Arial"/>
          <w:sz w:val="20"/>
          <w:szCs w:val="20"/>
        </w:rPr>
        <w:t>, a to</w:t>
      </w:r>
      <w:r w:rsidRPr="00C405DF">
        <w:rPr>
          <w:rFonts w:cs="Arial"/>
          <w:sz w:val="20"/>
          <w:szCs w:val="20"/>
        </w:rPr>
        <w:t xml:space="preserve"> výhradně v </w:t>
      </w:r>
      <w:r>
        <w:rPr>
          <w:rFonts w:cs="Arial"/>
          <w:sz w:val="20"/>
          <w:szCs w:val="20"/>
        </w:rPr>
        <w:t>z</w:t>
      </w:r>
      <w:r w:rsidRPr="00C405DF">
        <w:rPr>
          <w:rFonts w:cs="Arial"/>
          <w:sz w:val="20"/>
          <w:szCs w:val="20"/>
        </w:rPr>
        <w:t xml:space="preserve">ákladní pojištění </w:t>
      </w:r>
      <w:r>
        <w:rPr>
          <w:rFonts w:cs="Arial"/>
          <w:sz w:val="20"/>
          <w:szCs w:val="20"/>
        </w:rPr>
        <w:t xml:space="preserve">obecné </w:t>
      </w:r>
      <w:r w:rsidRPr="00C405DF">
        <w:rPr>
          <w:rFonts w:cs="Arial"/>
          <w:sz w:val="20"/>
          <w:szCs w:val="20"/>
        </w:rPr>
        <w:t xml:space="preserve">odpovědnosti a </w:t>
      </w:r>
      <w:r>
        <w:rPr>
          <w:rFonts w:cs="Arial"/>
          <w:sz w:val="20"/>
          <w:szCs w:val="20"/>
        </w:rPr>
        <w:t>pro „</w:t>
      </w:r>
      <w:r w:rsidRPr="00C405DF">
        <w:rPr>
          <w:rFonts w:cs="Arial"/>
          <w:sz w:val="20"/>
          <w:szCs w:val="20"/>
        </w:rPr>
        <w:t>Odpovědnost za věci užívané a převzaté</w:t>
      </w:r>
      <w:r>
        <w:rPr>
          <w:rFonts w:cs="Arial"/>
          <w:sz w:val="20"/>
          <w:szCs w:val="20"/>
        </w:rPr>
        <w:t>“</w:t>
      </w:r>
      <w:r w:rsidRPr="00C405DF">
        <w:rPr>
          <w:rFonts w:cs="Arial"/>
          <w:sz w:val="20"/>
          <w:szCs w:val="20"/>
        </w:rPr>
        <w:t xml:space="preserve"> vztahující se pouze na činnost pojištěného</w:t>
      </w:r>
      <w:r>
        <w:rPr>
          <w:rFonts w:cs="Arial"/>
          <w:sz w:val="20"/>
          <w:szCs w:val="20"/>
        </w:rPr>
        <w:t xml:space="preserve"> </w:t>
      </w:r>
      <w:r w:rsidRPr="00C405DF">
        <w:rPr>
          <w:rFonts w:cs="Arial"/>
          <w:sz w:val="20"/>
          <w:szCs w:val="20"/>
        </w:rPr>
        <w:t xml:space="preserve">v souvislosti s podílením se na realizaci výzkumného projektu </w:t>
      </w:r>
      <w:r w:rsidRPr="00C405DF">
        <w:rPr>
          <w:rFonts w:cs="Arial"/>
          <w:b/>
          <w:bCs/>
          <w:sz w:val="20"/>
          <w:szCs w:val="20"/>
        </w:rPr>
        <w:t>Národního ústavu pro výzkum rakoviny – NÚVR</w:t>
      </w:r>
      <w:r w:rsidRPr="00C405DF">
        <w:rPr>
          <w:rFonts w:cs="Arial"/>
          <w:sz w:val="20"/>
          <w:szCs w:val="20"/>
        </w:rPr>
        <w:t xml:space="preserve"> v rámci Národního plánu obnovy. Toto pojištění se nevztahuje na škody</w:t>
      </w:r>
      <w:r>
        <w:rPr>
          <w:rFonts w:cs="Arial"/>
          <w:sz w:val="20"/>
          <w:szCs w:val="20"/>
        </w:rPr>
        <w:t xml:space="preserve"> </w:t>
      </w:r>
      <w:r w:rsidRPr="00C405DF">
        <w:rPr>
          <w:rFonts w:cs="Arial"/>
          <w:sz w:val="20"/>
          <w:szCs w:val="20"/>
        </w:rPr>
        <w:t xml:space="preserve">způsobené vadným výrobkem nebo vadou práce </w:t>
      </w:r>
      <w:r>
        <w:rPr>
          <w:rFonts w:cs="Arial"/>
          <w:sz w:val="20"/>
          <w:szCs w:val="20"/>
        </w:rPr>
        <w:br/>
      </w:r>
      <w:r w:rsidRPr="00C405DF">
        <w:rPr>
          <w:rFonts w:cs="Arial"/>
          <w:sz w:val="20"/>
          <w:szCs w:val="20"/>
        </w:rPr>
        <w:t>po předání a v souvislosti s činnostmi dle</w:t>
      </w:r>
      <w:r>
        <w:rPr>
          <w:rFonts w:cs="Arial"/>
          <w:sz w:val="20"/>
          <w:szCs w:val="20"/>
        </w:rPr>
        <w:t xml:space="preserve"> </w:t>
      </w:r>
      <w:r w:rsidRPr="00C405DF">
        <w:rPr>
          <w:rFonts w:cs="Arial"/>
          <w:sz w:val="20"/>
          <w:szCs w:val="20"/>
        </w:rPr>
        <w:t>živnostenského zákona: testování, měření, kontroly a analýzy.</w:t>
      </w:r>
    </w:p>
    <w:p w14:paraId="53505C58" w14:textId="4CF38338" w:rsidR="00C405DF" w:rsidRDefault="00C405DF">
      <w:pPr>
        <w:jc w:val="left"/>
        <w:rPr>
          <w:rFonts w:cs="Arial"/>
          <w:sz w:val="20"/>
          <w:szCs w:val="20"/>
        </w:rPr>
      </w:pPr>
      <w:r>
        <w:rPr>
          <w:rFonts w:cs="Arial"/>
          <w:sz w:val="20"/>
          <w:szCs w:val="20"/>
        </w:rPr>
        <w:br w:type="page"/>
      </w:r>
    </w:p>
    <w:p w14:paraId="34FDE0B9" w14:textId="77777777" w:rsidR="00C405DF" w:rsidRPr="00B90A7C" w:rsidRDefault="00C405DF" w:rsidP="00C405DF">
      <w:pPr>
        <w:spacing w:line="280" w:lineRule="atLeast"/>
        <w:rPr>
          <w:rFonts w:cs="Arial"/>
          <w:sz w:val="20"/>
          <w:szCs w:val="20"/>
        </w:rPr>
      </w:pPr>
    </w:p>
    <w:p w14:paraId="0896A85E" w14:textId="77777777" w:rsidR="00450AC2" w:rsidRPr="004C306B" w:rsidRDefault="00450AC2" w:rsidP="00C405DF">
      <w:pPr>
        <w:pStyle w:val="Nadpis2"/>
        <w:spacing w:before="0" w:after="120"/>
        <w:ind w:left="578" w:hanging="578"/>
        <w:rPr>
          <w:color w:val="auto"/>
          <w:szCs w:val="24"/>
        </w:rPr>
      </w:pPr>
      <w:r w:rsidRPr="004C306B">
        <w:rPr>
          <w:color w:val="auto"/>
          <w:szCs w:val="24"/>
        </w:rPr>
        <w:t>BONIFIKACE</w:t>
      </w:r>
    </w:p>
    <w:p w14:paraId="16C5C843" w14:textId="41DD3477" w:rsidR="00450AC2" w:rsidRPr="00B90A7C" w:rsidRDefault="00450AC2" w:rsidP="00E60708">
      <w:pPr>
        <w:spacing w:after="120" w:line="280" w:lineRule="atLeast"/>
        <w:rPr>
          <w:rFonts w:cs="Arial"/>
          <w:sz w:val="20"/>
          <w:szCs w:val="20"/>
        </w:rPr>
      </w:pPr>
      <w:r w:rsidRPr="00B90A7C">
        <w:rPr>
          <w:rFonts w:cs="Arial"/>
          <w:sz w:val="20"/>
          <w:szCs w:val="20"/>
        </w:rPr>
        <w:t xml:space="preserve">„Pojistitel poskytne pro pojištění </w:t>
      </w:r>
      <w:r w:rsidR="002D58DD">
        <w:rPr>
          <w:rFonts w:cs="Arial"/>
          <w:sz w:val="20"/>
          <w:szCs w:val="20"/>
        </w:rPr>
        <w:t>majetku a poj</w:t>
      </w:r>
      <w:r w:rsidR="00486456">
        <w:rPr>
          <w:rFonts w:cs="Arial"/>
          <w:sz w:val="20"/>
          <w:szCs w:val="20"/>
        </w:rPr>
        <w:t>i</w:t>
      </w:r>
      <w:r w:rsidR="002D58DD">
        <w:rPr>
          <w:rFonts w:cs="Arial"/>
          <w:sz w:val="20"/>
          <w:szCs w:val="20"/>
        </w:rPr>
        <w:t xml:space="preserve">štění </w:t>
      </w:r>
      <w:r w:rsidR="004474A5">
        <w:rPr>
          <w:rFonts w:cs="Arial"/>
          <w:sz w:val="20"/>
          <w:szCs w:val="20"/>
        </w:rPr>
        <w:t>odpovědnosti</w:t>
      </w:r>
      <w:r w:rsidRPr="00B90A7C">
        <w:rPr>
          <w:rFonts w:cs="Arial"/>
          <w:sz w:val="20"/>
          <w:szCs w:val="20"/>
        </w:rPr>
        <w:t xml:space="preserve"> následující výši bonusu za příznivý škodní průběh:</w:t>
      </w:r>
    </w:p>
    <w:p w14:paraId="2A041E12" w14:textId="77777777" w:rsidR="00042D34" w:rsidRDefault="000D1B4D" w:rsidP="000D1B4D">
      <w:pPr>
        <w:spacing w:after="120" w:line="280" w:lineRule="atLeast"/>
        <w:rPr>
          <w:rFonts w:cs="Arial"/>
          <w:sz w:val="20"/>
          <w:szCs w:val="20"/>
        </w:rPr>
      </w:pPr>
      <w:r w:rsidRPr="00B90A7C">
        <w:rPr>
          <w:rFonts w:cs="Arial"/>
          <w:sz w:val="20"/>
          <w:szCs w:val="20"/>
        </w:rPr>
        <w:t>Škodní průběh</w:t>
      </w:r>
      <w:r w:rsidR="00042D34">
        <w:rPr>
          <w:rFonts w:cs="Arial"/>
          <w:sz w:val="20"/>
          <w:szCs w:val="20"/>
        </w:rPr>
        <w:t>:</w:t>
      </w:r>
      <w:r w:rsidRPr="00B90A7C">
        <w:rPr>
          <w:rFonts w:cs="Arial"/>
          <w:sz w:val="20"/>
          <w:szCs w:val="20"/>
        </w:rPr>
        <w:t xml:space="preserve"> </w:t>
      </w:r>
    </w:p>
    <w:p w14:paraId="3CA068F7" w14:textId="2E11A089" w:rsidR="000D1B4D" w:rsidRDefault="000D1B4D" w:rsidP="00042D34">
      <w:pPr>
        <w:spacing w:line="280" w:lineRule="atLeast"/>
        <w:rPr>
          <w:rFonts w:cs="Arial"/>
          <w:sz w:val="20"/>
          <w:szCs w:val="20"/>
        </w:rPr>
      </w:pPr>
      <w:r w:rsidRPr="00B90A7C">
        <w:rPr>
          <w:rFonts w:cs="Arial"/>
          <w:sz w:val="20"/>
          <w:szCs w:val="20"/>
        </w:rPr>
        <w:t xml:space="preserve">do </w:t>
      </w:r>
      <w:r w:rsidR="00042D34">
        <w:rPr>
          <w:rFonts w:cs="Arial"/>
          <w:sz w:val="20"/>
          <w:szCs w:val="20"/>
        </w:rPr>
        <w:t>1</w:t>
      </w:r>
      <w:r>
        <w:rPr>
          <w:rFonts w:cs="Arial"/>
          <w:sz w:val="20"/>
          <w:szCs w:val="20"/>
        </w:rPr>
        <w:t>0</w:t>
      </w:r>
      <w:r w:rsidRPr="00B90A7C">
        <w:rPr>
          <w:rFonts w:cs="Arial"/>
          <w:sz w:val="20"/>
          <w:szCs w:val="20"/>
        </w:rPr>
        <w:t xml:space="preserve">% </w:t>
      </w:r>
      <w:r w:rsidRPr="00B90A7C">
        <w:rPr>
          <w:rFonts w:cs="Arial"/>
          <w:sz w:val="20"/>
          <w:szCs w:val="20"/>
        </w:rPr>
        <w:tab/>
      </w:r>
      <w:r w:rsidRPr="00B90A7C">
        <w:rPr>
          <w:rFonts w:cs="Arial"/>
          <w:sz w:val="20"/>
          <w:szCs w:val="20"/>
        </w:rPr>
        <w:tab/>
        <w:t xml:space="preserve">výše bonifikace </w:t>
      </w:r>
      <w:r w:rsidR="00042D34">
        <w:rPr>
          <w:rFonts w:cs="Arial"/>
          <w:sz w:val="20"/>
          <w:szCs w:val="20"/>
        </w:rPr>
        <w:t>15</w:t>
      </w:r>
      <w:r w:rsidRPr="00B90A7C">
        <w:rPr>
          <w:rFonts w:cs="Arial"/>
          <w:sz w:val="20"/>
          <w:szCs w:val="20"/>
        </w:rPr>
        <w:t>%</w:t>
      </w:r>
    </w:p>
    <w:p w14:paraId="29DB30AB" w14:textId="426F66FE" w:rsidR="00042D34" w:rsidRPr="00B90A7C" w:rsidRDefault="00042D34" w:rsidP="000D1B4D">
      <w:pPr>
        <w:spacing w:after="120" w:line="280" w:lineRule="atLeast"/>
        <w:rPr>
          <w:rFonts w:cs="Arial"/>
          <w:sz w:val="20"/>
          <w:szCs w:val="20"/>
        </w:rPr>
      </w:pPr>
      <w:r w:rsidRPr="00B90A7C">
        <w:rPr>
          <w:rFonts w:cs="Arial"/>
          <w:sz w:val="20"/>
          <w:szCs w:val="20"/>
        </w:rPr>
        <w:t xml:space="preserve">do </w:t>
      </w:r>
      <w:r>
        <w:rPr>
          <w:rFonts w:cs="Arial"/>
          <w:sz w:val="20"/>
          <w:szCs w:val="20"/>
        </w:rPr>
        <w:t>30</w:t>
      </w:r>
      <w:r w:rsidRPr="00B90A7C">
        <w:rPr>
          <w:rFonts w:cs="Arial"/>
          <w:sz w:val="20"/>
          <w:szCs w:val="20"/>
        </w:rPr>
        <w:t xml:space="preserve">% </w:t>
      </w:r>
      <w:r w:rsidRPr="00B90A7C">
        <w:rPr>
          <w:rFonts w:cs="Arial"/>
          <w:sz w:val="20"/>
          <w:szCs w:val="20"/>
        </w:rPr>
        <w:tab/>
      </w:r>
      <w:r w:rsidRPr="00B90A7C">
        <w:rPr>
          <w:rFonts w:cs="Arial"/>
          <w:sz w:val="20"/>
          <w:szCs w:val="20"/>
        </w:rPr>
        <w:tab/>
        <w:t xml:space="preserve">výše bonifikace </w:t>
      </w:r>
      <w:r>
        <w:rPr>
          <w:rFonts w:cs="Arial"/>
          <w:sz w:val="20"/>
          <w:szCs w:val="20"/>
        </w:rPr>
        <w:t>8</w:t>
      </w:r>
      <w:r w:rsidRPr="00B90A7C">
        <w:rPr>
          <w:rFonts w:cs="Arial"/>
          <w:sz w:val="20"/>
          <w:szCs w:val="20"/>
        </w:rPr>
        <w:t>%</w:t>
      </w:r>
    </w:p>
    <w:p w14:paraId="70E78F2A" w14:textId="77777777" w:rsidR="003F5E50" w:rsidRDefault="00450AC2" w:rsidP="003F5E50">
      <w:pPr>
        <w:spacing w:before="120" w:after="120" w:line="280" w:lineRule="atLeast"/>
        <w:rPr>
          <w:rFonts w:cs="Arial"/>
          <w:sz w:val="20"/>
          <w:szCs w:val="20"/>
        </w:rPr>
      </w:pPr>
      <w:r w:rsidRPr="00B90A7C">
        <w:rPr>
          <w:rFonts w:cs="Arial"/>
          <w:sz w:val="20"/>
          <w:szCs w:val="20"/>
        </w:rPr>
        <w:t xml:space="preserve">Škodním průběhem se rozumí poměr mezi vyplaceným pojistným plněním (vč. rezervy na škody vzniklé, nahlášené, ale v době poskytnutí bonifikace nevyplacené) a přijatým pojistným, přičemž vyplacené pojistné plnění i přijaté pojistné jsou vztahovány k pojistnému období v délce jednoho roku. </w:t>
      </w:r>
    </w:p>
    <w:p w14:paraId="0CBA0C82" w14:textId="5E328043" w:rsidR="008669F0" w:rsidRDefault="00450AC2" w:rsidP="00486456">
      <w:pPr>
        <w:spacing w:before="120" w:after="120" w:line="280" w:lineRule="atLeast"/>
        <w:rPr>
          <w:rFonts w:cs="Arial"/>
          <w:sz w:val="20"/>
          <w:szCs w:val="20"/>
        </w:rPr>
      </w:pPr>
      <w:r w:rsidRPr="00B90A7C">
        <w:rPr>
          <w:rFonts w:cs="Arial"/>
          <w:sz w:val="20"/>
          <w:szCs w:val="20"/>
        </w:rPr>
        <w:t xml:space="preserve">Pro výpočet škodního průběhu se do vyplaceného pojistného plnění započítávají </w:t>
      </w:r>
      <w:r w:rsidR="00042D34">
        <w:rPr>
          <w:rFonts w:cs="Arial"/>
          <w:sz w:val="20"/>
          <w:szCs w:val="20"/>
        </w:rPr>
        <w:t xml:space="preserve">i </w:t>
      </w:r>
      <w:r w:rsidRPr="00B90A7C">
        <w:rPr>
          <w:rFonts w:cs="Arial"/>
          <w:sz w:val="20"/>
          <w:szCs w:val="20"/>
        </w:rPr>
        <w:t>přijaté regresy.</w:t>
      </w:r>
      <w:bookmarkEnd w:id="1"/>
      <w:bookmarkEnd w:id="2"/>
      <w:bookmarkEnd w:id="3"/>
      <w:bookmarkEnd w:id="4"/>
      <w:bookmarkEnd w:id="5"/>
      <w:bookmarkEnd w:id="6"/>
      <w:bookmarkEnd w:id="7"/>
      <w:bookmarkEnd w:id="8"/>
      <w:bookmarkEnd w:id="9"/>
      <w:bookmarkEnd w:id="10"/>
      <w:bookmarkEnd w:id="11"/>
    </w:p>
    <w:p w14:paraId="603F9041" w14:textId="77777777" w:rsidR="00525537" w:rsidRDefault="00525537" w:rsidP="00486456">
      <w:pPr>
        <w:spacing w:before="120" w:after="120" w:line="280" w:lineRule="atLeast"/>
        <w:rPr>
          <w:rFonts w:cs="Arial"/>
          <w:sz w:val="20"/>
          <w:szCs w:val="20"/>
        </w:rPr>
      </w:pPr>
    </w:p>
    <w:p w14:paraId="3DB51F4F" w14:textId="4759AFE6" w:rsidR="00525537" w:rsidRDefault="00525537" w:rsidP="00486456">
      <w:pPr>
        <w:spacing w:before="120" w:after="120" w:line="280" w:lineRule="atLeast"/>
        <w:rPr>
          <w:rFonts w:cs="Arial"/>
          <w:sz w:val="20"/>
          <w:szCs w:val="20"/>
        </w:rPr>
      </w:pPr>
      <w:r w:rsidRPr="00525537">
        <w:rPr>
          <w:rFonts w:cs="Arial"/>
          <w:sz w:val="20"/>
          <w:szCs w:val="20"/>
        </w:rPr>
        <w:t>Překročí-li však škodní průběh v pojistném roce 55 %, nevznikne nárok na vyplacení bonifikace ani v roce následujícím, i kdyby pro</w:t>
      </w:r>
      <w:r>
        <w:rPr>
          <w:rFonts w:cs="Arial"/>
          <w:sz w:val="20"/>
          <w:szCs w:val="20"/>
        </w:rPr>
        <w:t xml:space="preserve"> ni</w:t>
      </w:r>
      <w:r w:rsidRPr="00525537">
        <w:rPr>
          <w:rFonts w:cs="Arial"/>
          <w:sz w:val="20"/>
          <w:szCs w:val="20"/>
        </w:rPr>
        <w:t xml:space="preserve"> jinak byly splněny předpoklady.</w:t>
      </w:r>
    </w:p>
    <w:p w14:paraId="214F1E9E" w14:textId="77777777" w:rsidR="00525537" w:rsidRDefault="00525537">
      <w:pPr>
        <w:jc w:val="left"/>
        <w:rPr>
          <w:rFonts w:cs="Arial"/>
          <w:sz w:val="20"/>
          <w:szCs w:val="20"/>
        </w:rPr>
      </w:pPr>
      <w:r>
        <w:rPr>
          <w:rFonts w:cs="Arial"/>
          <w:sz w:val="20"/>
          <w:szCs w:val="20"/>
        </w:rPr>
        <w:br w:type="page"/>
      </w:r>
    </w:p>
    <w:p w14:paraId="272B6E0C" w14:textId="77777777" w:rsidR="002A4316" w:rsidRDefault="002A4316" w:rsidP="002A4316">
      <w:pPr>
        <w:spacing w:before="120" w:line="280" w:lineRule="atLeast"/>
        <w:rPr>
          <w:rFonts w:cs="Arial"/>
          <w:sz w:val="20"/>
          <w:szCs w:val="20"/>
        </w:rPr>
      </w:pPr>
    </w:p>
    <w:p w14:paraId="48298725" w14:textId="77777777" w:rsidR="002A4316" w:rsidRPr="00B90A7C" w:rsidRDefault="002A4316" w:rsidP="002A4316">
      <w:pPr>
        <w:pStyle w:val="Nadpis1"/>
        <w:keepNext/>
        <w:shd w:val="clear" w:color="auto" w:fill="C3E7F5"/>
        <w:spacing w:after="240" w:line="280" w:lineRule="atLeast"/>
        <w:jc w:val="center"/>
        <w:rPr>
          <w:color w:val="auto"/>
          <w:sz w:val="28"/>
          <w:szCs w:val="28"/>
        </w:rPr>
      </w:pPr>
      <w:r>
        <w:rPr>
          <w:color w:val="auto"/>
          <w:sz w:val="28"/>
          <w:szCs w:val="28"/>
        </w:rPr>
        <w:t>Plateb</w:t>
      </w:r>
      <w:r w:rsidRPr="00B90A7C">
        <w:rPr>
          <w:color w:val="auto"/>
          <w:sz w:val="28"/>
          <w:szCs w:val="28"/>
        </w:rPr>
        <w:t>ní podmínky</w:t>
      </w:r>
    </w:p>
    <w:p w14:paraId="7C326689" w14:textId="77777777" w:rsidR="002A4316" w:rsidRDefault="002A4316" w:rsidP="002A4316">
      <w:pPr>
        <w:spacing w:before="120" w:line="280" w:lineRule="atLeast"/>
        <w:rPr>
          <w:rFonts w:cs="Arial"/>
          <w:sz w:val="20"/>
          <w:szCs w:val="20"/>
        </w:rPr>
      </w:pPr>
      <w:bookmarkStart w:id="14" w:name="_Ref135539938"/>
      <w:bookmarkStart w:id="15" w:name="_Ref144195391"/>
      <w:r w:rsidRPr="004C3143">
        <w:rPr>
          <w:rFonts w:cs="Arial"/>
          <w:sz w:val="20"/>
          <w:szCs w:val="20"/>
        </w:rPr>
        <w:t xml:space="preserve">Pojistné částky </w:t>
      </w:r>
      <w:r>
        <w:rPr>
          <w:rFonts w:cs="Arial"/>
          <w:sz w:val="20"/>
          <w:szCs w:val="20"/>
        </w:rPr>
        <w:t xml:space="preserve">nebo limity </w:t>
      </w:r>
      <w:r w:rsidRPr="004C3143">
        <w:rPr>
          <w:rFonts w:cs="Arial"/>
          <w:sz w:val="20"/>
          <w:szCs w:val="20"/>
        </w:rPr>
        <w:t>u jednotlivých rizik se mohou v čase změnit, v případě takové změny se mění cena pojištění, nikoliv sazba pojistného.</w:t>
      </w:r>
    </w:p>
    <w:p w14:paraId="34949CA4" w14:textId="77777777" w:rsidR="002A4316" w:rsidRPr="00D6713B" w:rsidRDefault="002A4316" w:rsidP="002A4316">
      <w:pPr>
        <w:spacing w:before="120" w:line="280" w:lineRule="atLeast"/>
        <w:rPr>
          <w:rFonts w:cs="Arial"/>
          <w:b/>
          <w:sz w:val="20"/>
          <w:szCs w:val="20"/>
        </w:rPr>
      </w:pPr>
      <w:r>
        <w:rPr>
          <w:rFonts w:cs="Arial"/>
          <w:b/>
          <w:sz w:val="20"/>
          <w:szCs w:val="20"/>
        </w:rPr>
        <w:t>Výpověď po pojistné události</w:t>
      </w:r>
    </w:p>
    <w:p w14:paraId="444A179E" w14:textId="5B9C3D02" w:rsidR="002A4316" w:rsidRDefault="002A4316" w:rsidP="002A4316">
      <w:pPr>
        <w:spacing w:before="120" w:line="280" w:lineRule="atLeast"/>
        <w:rPr>
          <w:rFonts w:cs="Arial"/>
          <w:sz w:val="20"/>
          <w:szCs w:val="20"/>
        </w:rPr>
      </w:pPr>
      <w:r w:rsidRPr="004C3143">
        <w:rPr>
          <w:rFonts w:cs="Arial"/>
          <w:sz w:val="20"/>
          <w:szCs w:val="20"/>
        </w:rPr>
        <w:t xml:space="preserve">Pokud pojistitel vypoví pojistnou smlouvu po pojistné události, činí výpovědní lhůta </w:t>
      </w:r>
      <w:r>
        <w:rPr>
          <w:rFonts w:cs="Arial"/>
          <w:sz w:val="20"/>
          <w:szCs w:val="20"/>
        </w:rPr>
        <w:t>6</w:t>
      </w:r>
      <w:r w:rsidRPr="004C3143">
        <w:rPr>
          <w:rFonts w:cs="Arial"/>
          <w:sz w:val="20"/>
          <w:szCs w:val="20"/>
        </w:rPr>
        <w:t xml:space="preserve"> měsíc</w:t>
      </w:r>
      <w:r>
        <w:rPr>
          <w:rFonts w:cs="Arial"/>
          <w:sz w:val="20"/>
          <w:szCs w:val="20"/>
        </w:rPr>
        <w:t>ů</w:t>
      </w:r>
      <w:r w:rsidRPr="004C3143">
        <w:rPr>
          <w:rFonts w:cs="Arial"/>
          <w:sz w:val="20"/>
          <w:szCs w:val="20"/>
        </w:rPr>
        <w:t xml:space="preserve"> </w:t>
      </w:r>
      <w:r>
        <w:rPr>
          <w:rFonts w:cs="Arial"/>
          <w:sz w:val="20"/>
          <w:szCs w:val="20"/>
        </w:rPr>
        <w:br/>
      </w:r>
      <w:r w:rsidRPr="004C3143">
        <w:rPr>
          <w:rFonts w:cs="Arial"/>
          <w:sz w:val="20"/>
          <w:szCs w:val="20"/>
        </w:rPr>
        <w:t>od doručení výpovědi.</w:t>
      </w:r>
    </w:p>
    <w:p w14:paraId="6978F2A5" w14:textId="77777777" w:rsidR="002A4316" w:rsidRPr="00D6713B" w:rsidRDefault="002A4316" w:rsidP="002A4316">
      <w:pPr>
        <w:spacing w:before="120" w:line="280" w:lineRule="atLeast"/>
        <w:rPr>
          <w:rFonts w:cs="Arial"/>
          <w:b/>
          <w:sz w:val="20"/>
          <w:szCs w:val="20"/>
        </w:rPr>
      </w:pPr>
      <w:r w:rsidRPr="00D6713B">
        <w:rPr>
          <w:rFonts w:cs="Arial"/>
          <w:b/>
          <w:sz w:val="20"/>
          <w:szCs w:val="20"/>
        </w:rPr>
        <w:t>Hrazení ceny plnění veřejné zakázky</w:t>
      </w:r>
    </w:p>
    <w:p w14:paraId="60019382" w14:textId="77777777" w:rsidR="002A4316" w:rsidRDefault="002A4316" w:rsidP="002A4316">
      <w:pPr>
        <w:spacing w:before="120" w:line="280" w:lineRule="atLeast"/>
        <w:rPr>
          <w:rFonts w:cs="Arial"/>
          <w:sz w:val="20"/>
          <w:szCs w:val="20"/>
        </w:rPr>
      </w:pPr>
      <w:r w:rsidRPr="00457EC7">
        <w:rPr>
          <w:rFonts w:cs="Arial"/>
          <w:sz w:val="20"/>
          <w:szCs w:val="20"/>
        </w:rPr>
        <w:t xml:space="preserve">Cena plnění veřejné zakázky bude zadavatelem hrazena na základě daňového dokladu – faktury, kterou je oprávněn vystavit </w:t>
      </w:r>
      <w:r>
        <w:rPr>
          <w:rFonts w:cs="Arial"/>
          <w:sz w:val="20"/>
          <w:szCs w:val="20"/>
        </w:rPr>
        <w:t>dodavatel (pojistitel)</w:t>
      </w:r>
      <w:r w:rsidRPr="00457EC7">
        <w:rPr>
          <w:rFonts w:cs="Arial"/>
          <w:sz w:val="20"/>
          <w:szCs w:val="20"/>
        </w:rPr>
        <w:t xml:space="preserve"> vždy ke konci příslušného kalendářního čtvrtletí, ve kterém se řádně plnil předmět veřejné zakázky. </w:t>
      </w:r>
      <w:bookmarkEnd w:id="14"/>
      <w:bookmarkEnd w:id="15"/>
    </w:p>
    <w:p w14:paraId="3784CDD3" w14:textId="74D47A63" w:rsidR="002A4316" w:rsidRPr="00457EC7" w:rsidRDefault="005349D7" w:rsidP="002A4316">
      <w:pPr>
        <w:spacing w:before="120" w:line="280" w:lineRule="atLeast"/>
        <w:rPr>
          <w:rFonts w:cs="Arial"/>
          <w:sz w:val="20"/>
          <w:szCs w:val="20"/>
        </w:rPr>
      </w:pPr>
      <w:r>
        <w:rPr>
          <w:rFonts w:cs="Arial"/>
          <w:sz w:val="20"/>
          <w:szCs w:val="20"/>
        </w:rPr>
        <w:t xml:space="preserve">Dodavatel </w:t>
      </w:r>
      <w:r w:rsidR="002A4316" w:rsidRPr="007C1A7A">
        <w:rPr>
          <w:rFonts w:cs="Arial"/>
          <w:sz w:val="20"/>
          <w:szCs w:val="20"/>
        </w:rPr>
        <w:t>se zavazuje, že nebude navyšovat výši pojistného za požadovaný čtvrtletní způsob platby pojistného.</w:t>
      </w:r>
    </w:p>
    <w:p w14:paraId="7CD8EB32" w14:textId="77777777" w:rsidR="002A4316" w:rsidRPr="00D6713B" w:rsidRDefault="002A4316" w:rsidP="002A4316">
      <w:pPr>
        <w:spacing w:before="120" w:line="280" w:lineRule="atLeast"/>
        <w:rPr>
          <w:rFonts w:cs="Arial"/>
          <w:b/>
          <w:sz w:val="20"/>
          <w:szCs w:val="20"/>
        </w:rPr>
      </w:pPr>
      <w:r w:rsidRPr="00D6713B">
        <w:rPr>
          <w:rFonts w:cs="Arial"/>
          <w:b/>
          <w:sz w:val="20"/>
          <w:szCs w:val="20"/>
        </w:rPr>
        <w:t>Splatnost faktury</w:t>
      </w:r>
    </w:p>
    <w:p w14:paraId="28C3CB4F" w14:textId="77777777" w:rsidR="002A4316" w:rsidRPr="00457EC7" w:rsidRDefault="002A4316" w:rsidP="002A4316">
      <w:pPr>
        <w:spacing w:before="120" w:line="280" w:lineRule="atLeast"/>
        <w:rPr>
          <w:rFonts w:cs="Arial"/>
          <w:sz w:val="20"/>
          <w:szCs w:val="20"/>
        </w:rPr>
      </w:pPr>
      <w:r w:rsidRPr="00457EC7">
        <w:rPr>
          <w:rFonts w:cs="Arial"/>
          <w:sz w:val="20"/>
          <w:szCs w:val="20"/>
        </w:rPr>
        <w:t>Splatnost každé faktury nesmí být kratší než 14 dnů ode dne jejího doručení zadavateli.</w:t>
      </w:r>
    </w:p>
    <w:p w14:paraId="7A5B7022" w14:textId="77777777" w:rsidR="002A4316" w:rsidRPr="00D6713B" w:rsidRDefault="002A4316" w:rsidP="002A4316">
      <w:pPr>
        <w:spacing w:before="120" w:line="280" w:lineRule="atLeast"/>
        <w:rPr>
          <w:rFonts w:cs="Arial"/>
          <w:b/>
          <w:sz w:val="20"/>
          <w:szCs w:val="20"/>
        </w:rPr>
      </w:pPr>
      <w:r w:rsidRPr="00D6713B">
        <w:rPr>
          <w:rFonts w:cs="Arial"/>
          <w:b/>
          <w:sz w:val="20"/>
          <w:szCs w:val="20"/>
        </w:rPr>
        <w:t>Náležitosti faktury</w:t>
      </w:r>
    </w:p>
    <w:p w14:paraId="20E9D1C6" w14:textId="77777777" w:rsidR="002A4316" w:rsidRPr="00457EC7" w:rsidRDefault="002A4316" w:rsidP="002A4316">
      <w:pPr>
        <w:spacing w:before="120" w:line="280" w:lineRule="atLeast"/>
        <w:rPr>
          <w:rFonts w:cs="Arial"/>
          <w:sz w:val="20"/>
          <w:szCs w:val="20"/>
        </w:rPr>
      </w:pPr>
      <w:r w:rsidRPr="00457EC7">
        <w:rPr>
          <w:rFonts w:cs="Arial"/>
          <w:sz w:val="20"/>
          <w:szCs w:val="20"/>
        </w:rPr>
        <w:t>Faktura musí obsahovat všechny náležitosti ve smyslu příslušných zákonných ustanovení. V případě, že faktura nebude mít odpovídající náležitosti, je zadavatel oprávněn ji zaslat zpět k doplnění, aniž se tak dostane do prodlení se splatností; lhůta splatnosti počíná běžet znovu od opětovného doručení náležitě doplněného či opraveného dokladu.</w:t>
      </w:r>
    </w:p>
    <w:p w14:paraId="45215180" w14:textId="77777777" w:rsidR="002A4316" w:rsidRPr="00D6713B" w:rsidRDefault="002A4316" w:rsidP="002A4316">
      <w:pPr>
        <w:spacing w:before="120" w:line="280" w:lineRule="atLeast"/>
        <w:rPr>
          <w:rFonts w:cs="Arial"/>
          <w:b/>
          <w:sz w:val="20"/>
          <w:szCs w:val="20"/>
        </w:rPr>
      </w:pPr>
      <w:r w:rsidRPr="00D6713B">
        <w:rPr>
          <w:rFonts w:cs="Arial"/>
          <w:b/>
          <w:sz w:val="20"/>
          <w:szCs w:val="20"/>
        </w:rPr>
        <w:t>Provádění plateb</w:t>
      </w:r>
    </w:p>
    <w:p w14:paraId="2A407AA9" w14:textId="7E46E2F2" w:rsidR="002A4316" w:rsidRDefault="002A4316" w:rsidP="002A4316">
      <w:pPr>
        <w:spacing w:before="120" w:line="280" w:lineRule="atLeast"/>
        <w:rPr>
          <w:rFonts w:cs="Arial"/>
          <w:sz w:val="20"/>
          <w:szCs w:val="20"/>
        </w:rPr>
      </w:pPr>
      <w:r w:rsidRPr="00457EC7">
        <w:rPr>
          <w:rFonts w:cs="Arial"/>
          <w:sz w:val="20"/>
          <w:szCs w:val="20"/>
        </w:rPr>
        <w:t>Platby pojistného budou prováděny v české měně. Roční pojistné bude splatné čtvrtletně, ve čtyřech splátkách v každém kalendářním roce pojištění, a to k</w:t>
      </w:r>
      <w:r>
        <w:rPr>
          <w:rFonts w:cs="Arial"/>
          <w:sz w:val="20"/>
          <w:szCs w:val="20"/>
        </w:rPr>
        <w:t> 30.4</w:t>
      </w:r>
      <w:r w:rsidRPr="00457EC7">
        <w:rPr>
          <w:rFonts w:cs="Arial"/>
          <w:sz w:val="20"/>
          <w:szCs w:val="20"/>
        </w:rPr>
        <w:t xml:space="preserve">., 01. </w:t>
      </w:r>
      <w:r>
        <w:rPr>
          <w:rFonts w:cs="Arial"/>
          <w:sz w:val="20"/>
          <w:szCs w:val="20"/>
        </w:rPr>
        <w:t>07.</w:t>
      </w:r>
      <w:r w:rsidRPr="00457EC7">
        <w:rPr>
          <w:rFonts w:cs="Arial"/>
          <w:sz w:val="20"/>
          <w:szCs w:val="20"/>
        </w:rPr>
        <w:t xml:space="preserve">, 01. </w:t>
      </w:r>
      <w:r>
        <w:rPr>
          <w:rFonts w:cs="Arial"/>
          <w:sz w:val="20"/>
          <w:szCs w:val="20"/>
        </w:rPr>
        <w:t>10</w:t>
      </w:r>
      <w:r w:rsidRPr="00457EC7">
        <w:rPr>
          <w:rFonts w:cs="Arial"/>
          <w:sz w:val="20"/>
          <w:szCs w:val="20"/>
        </w:rPr>
        <w:t xml:space="preserve">. a k 01. </w:t>
      </w:r>
      <w:r>
        <w:rPr>
          <w:rFonts w:cs="Arial"/>
          <w:sz w:val="20"/>
          <w:szCs w:val="20"/>
        </w:rPr>
        <w:t>01</w:t>
      </w:r>
      <w:r w:rsidRPr="00457EC7">
        <w:rPr>
          <w:rFonts w:cs="Arial"/>
          <w:sz w:val="20"/>
          <w:szCs w:val="20"/>
        </w:rPr>
        <w:t>. v prvním roce pojištění a dále vždy k </w:t>
      </w:r>
      <w:r w:rsidR="005349D7">
        <w:rPr>
          <w:rFonts w:cs="Arial"/>
          <w:sz w:val="20"/>
          <w:szCs w:val="20"/>
        </w:rPr>
        <w:t>0</w:t>
      </w:r>
      <w:r w:rsidRPr="00457EC7">
        <w:rPr>
          <w:rFonts w:cs="Arial"/>
          <w:sz w:val="20"/>
          <w:szCs w:val="20"/>
        </w:rPr>
        <w:t>1. 0</w:t>
      </w:r>
      <w:r>
        <w:rPr>
          <w:rFonts w:cs="Arial"/>
          <w:sz w:val="20"/>
          <w:szCs w:val="20"/>
        </w:rPr>
        <w:t>4</w:t>
      </w:r>
      <w:r w:rsidRPr="00457EC7">
        <w:rPr>
          <w:rFonts w:cs="Arial"/>
          <w:sz w:val="20"/>
          <w:szCs w:val="20"/>
        </w:rPr>
        <w:t xml:space="preserve">., 01. </w:t>
      </w:r>
      <w:r>
        <w:rPr>
          <w:rFonts w:cs="Arial"/>
          <w:sz w:val="20"/>
          <w:szCs w:val="20"/>
        </w:rPr>
        <w:t>07.</w:t>
      </w:r>
      <w:r w:rsidRPr="00457EC7">
        <w:rPr>
          <w:rFonts w:cs="Arial"/>
          <w:sz w:val="20"/>
          <w:szCs w:val="20"/>
        </w:rPr>
        <w:t xml:space="preserve">, 01. </w:t>
      </w:r>
      <w:r>
        <w:rPr>
          <w:rFonts w:cs="Arial"/>
          <w:sz w:val="20"/>
          <w:szCs w:val="20"/>
        </w:rPr>
        <w:t>10</w:t>
      </w:r>
      <w:r w:rsidRPr="00457EC7">
        <w:rPr>
          <w:rFonts w:cs="Arial"/>
          <w:sz w:val="20"/>
          <w:szCs w:val="20"/>
        </w:rPr>
        <w:t xml:space="preserve">. a k 01. </w:t>
      </w:r>
      <w:r>
        <w:rPr>
          <w:rFonts w:cs="Arial"/>
          <w:sz w:val="20"/>
          <w:szCs w:val="20"/>
        </w:rPr>
        <w:t xml:space="preserve">01 </w:t>
      </w:r>
      <w:r w:rsidRPr="00457EC7">
        <w:rPr>
          <w:rFonts w:cs="Arial"/>
          <w:sz w:val="20"/>
          <w:szCs w:val="20"/>
        </w:rPr>
        <w:t>následujících kalendářních let, není-li v zadávací dokumentaci uvedeno jinak.</w:t>
      </w:r>
    </w:p>
    <w:p w14:paraId="02AB3CC4" w14:textId="6267163F" w:rsidR="005349D7" w:rsidRDefault="005349D7" w:rsidP="002A4316">
      <w:pPr>
        <w:spacing w:before="120" w:line="280" w:lineRule="atLeast"/>
        <w:rPr>
          <w:rFonts w:cs="Arial"/>
          <w:sz w:val="20"/>
          <w:szCs w:val="20"/>
        </w:rPr>
      </w:pPr>
      <w:r>
        <w:rPr>
          <w:rFonts w:cs="Arial"/>
          <w:sz w:val="20"/>
          <w:szCs w:val="20"/>
        </w:rPr>
        <w:t>Platby pojistného budou hrazeny ve výši dle splátkového kalendáře uvedeného v pojistné smlouvě / dodatcích na účet pojišťovacího makléře. Číslo účtu 5030018888/5500</w:t>
      </w:r>
      <w:r w:rsidR="002936A6">
        <w:rPr>
          <w:rFonts w:cs="Arial"/>
          <w:sz w:val="20"/>
          <w:szCs w:val="20"/>
        </w:rPr>
        <w:t>, variabilní symbol: číslo pojistné smlouvy.</w:t>
      </w:r>
    </w:p>
    <w:p w14:paraId="0E066439" w14:textId="64596449" w:rsidR="002936A6" w:rsidRPr="00457EC7" w:rsidRDefault="002936A6" w:rsidP="002A4316">
      <w:pPr>
        <w:spacing w:before="120" w:line="280" w:lineRule="atLeast"/>
        <w:rPr>
          <w:rFonts w:cs="Arial"/>
          <w:sz w:val="20"/>
          <w:szCs w:val="20"/>
        </w:rPr>
      </w:pPr>
      <w:r>
        <w:rPr>
          <w:rFonts w:cs="Arial"/>
          <w:sz w:val="20"/>
          <w:szCs w:val="20"/>
        </w:rPr>
        <w:t>V pojistné smlouvě bude uvedeno ujednání: „Pojistné se považuje za uhrazené dnem připsání na výše uvedený účet makléře.“</w:t>
      </w:r>
    </w:p>
    <w:p w14:paraId="06AE7319" w14:textId="77777777" w:rsidR="002A4316" w:rsidRPr="004C3143" w:rsidRDefault="002A4316" w:rsidP="002A4316">
      <w:pPr>
        <w:spacing w:before="120" w:line="280" w:lineRule="atLeast"/>
        <w:rPr>
          <w:rFonts w:cs="Arial"/>
          <w:b/>
          <w:sz w:val="20"/>
          <w:szCs w:val="20"/>
        </w:rPr>
      </w:pPr>
      <w:r w:rsidRPr="004C3143">
        <w:rPr>
          <w:rFonts w:cs="Arial"/>
          <w:b/>
          <w:sz w:val="20"/>
          <w:szCs w:val="20"/>
        </w:rPr>
        <w:t>Zadavatel si vyhrazuje právo zařazovat do pojistné smlouvy (smluv) následující ujednání:</w:t>
      </w:r>
    </w:p>
    <w:p w14:paraId="6D82476B" w14:textId="77777777" w:rsidR="002A4316" w:rsidRPr="00554432" w:rsidRDefault="002A4316" w:rsidP="002A4316">
      <w:pPr>
        <w:pStyle w:val="Text"/>
        <w:numPr>
          <w:ilvl w:val="0"/>
          <w:numId w:val="12"/>
        </w:numPr>
        <w:spacing w:before="120" w:after="0" w:line="280" w:lineRule="atLeast"/>
        <w:ind w:left="714" w:right="45" w:hanging="357"/>
        <w:jc w:val="both"/>
        <w:rPr>
          <w:rFonts w:ascii="Arial" w:hAnsi="Arial" w:cs="Arial"/>
          <w:sz w:val="20"/>
        </w:rPr>
      </w:pPr>
      <w:r w:rsidRPr="00554432">
        <w:rPr>
          <w:rFonts w:ascii="Arial" w:hAnsi="Arial" w:cs="Arial"/>
          <w:sz w:val="20"/>
        </w:rPr>
        <w:t>o neplatnosti postoupení pohledávky druhé smluvní strany vzniklé z pojistné smlouvy bez předchozího písemného souhlasu zadavatele s postoupením,</w:t>
      </w:r>
    </w:p>
    <w:p w14:paraId="39FABCB2" w14:textId="77777777" w:rsidR="002A4316" w:rsidRPr="00554432" w:rsidRDefault="002A4316" w:rsidP="002A4316">
      <w:pPr>
        <w:pStyle w:val="Text"/>
        <w:numPr>
          <w:ilvl w:val="0"/>
          <w:numId w:val="12"/>
        </w:numPr>
        <w:spacing w:before="120" w:after="0" w:line="280" w:lineRule="atLeast"/>
        <w:ind w:left="714" w:right="45" w:hanging="357"/>
        <w:jc w:val="both"/>
        <w:rPr>
          <w:rFonts w:ascii="Arial" w:hAnsi="Arial" w:cs="Arial"/>
          <w:sz w:val="20"/>
        </w:rPr>
      </w:pPr>
      <w:r w:rsidRPr="00554432">
        <w:rPr>
          <w:rFonts w:ascii="Arial" w:hAnsi="Arial" w:cs="Arial"/>
          <w:sz w:val="20"/>
        </w:rPr>
        <w:t>o sjednání smluvní pokuty za zastavení pohledávky druhé smluvní strany vzniklé z pojistné smlouvy bez předchozího písemného souhlasu zadavatele, a to ve výši 10 % z nominální výše zastavené pohledávky,</w:t>
      </w:r>
    </w:p>
    <w:p w14:paraId="563E2AC6" w14:textId="6ED2A030" w:rsidR="00002E91" w:rsidRPr="00002E91" w:rsidRDefault="002A4316" w:rsidP="00002E91">
      <w:pPr>
        <w:pStyle w:val="Text"/>
        <w:numPr>
          <w:ilvl w:val="0"/>
          <w:numId w:val="12"/>
        </w:numPr>
        <w:spacing w:before="120" w:after="120" w:line="280" w:lineRule="atLeast"/>
        <w:ind w:left="714" w:right="45" w:hanging="357"/>
        <w:jc w:val="both"/>
        <w:rPr>
          <w:rFonts w:cs="Arial"/>
          <w:sz w:val="20"/>
        </w:rPr>
      </w:pPr>
      <w:r w:rsidRPr="002936A6">
        <w:rPr>
          <w:rFonts w:ascii="Arial" w:hAnsi="Arial" w:cs="Arial"/>
          <w:sz w:val="20"/>
        </w:rPr>
        <w:t>o platnosti započtení vzájemných pohledávek výlučně na základě písemné dohody smluvních stran</w:t>
      </w:r>
    </w:p>
    <w:sectPr w:rsidR="00002E91" w:rsidRPr="00002E91" w:rsidSect="00F41E3A">
      <w:type w:val="continuous"/>
      <w:pgSz w:w="11906" w:h="16838" w:code="9"/>
      <w:pgMar w:top="57" w:right="1418" w:bottom="1134" w:left="1418" w:header="119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5ACF2" w14:textId="77777777" w:rsidR="00A74E41" w:rsidRDefault="00A74E41" w:rsidP="00226667">
      <w:r>
        <w:separator/>
      </w:r>
    </w:p>
  </w:endnote>
  <w:endnote w:type="continuationSeparator" w:id="0">
    <w:p w14:paraId="04BE3900" w14:textId="77777777" w:rsidR="00A74E41" w:rsidRDefault="00A74E41" w:rsidP="00226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imbusSanNovTEE">
    <w:altName w:val="Arial"/>
    <w:charset w:val="00"/>
    <w:family w:val="auto"/>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2" w:name="_Hlk218257231" w:displacedByCustomXml="next"/>
  <w:sdt>
    <w:sdtPr>
      <w:rPr>
        <w:sz w:val="18"/>
        <w:szCs w:val="18"/>
      </w:rPr>
      <w:id w:val="-2114574359"/>
      <w:docPartObj>
        <w:docPartGallery w:val="Page Numbers (Top of Page)"/>
        <w:docPartUnique/>
      </w:docPartObj>
    </w:sdtPr>
    <w:sdtContent>
      <w:p w14:paraId="40C1C028" w14:textId="79D753C1" w:rsidR="00502C50" w:rsidRDefault="00E13F92" w:rsidP="00F0758F">
        <w:pPr>
          <w:pBdr>
            <w:top w:val="single" w:sz="4" w:space="1" w:color="auto"/>
          </w:pBdr>
          <w:spacing w:before="120" w:line="280" w:lineRule="atLeast"/>
          <w:jc w:val="left"/>
          <w:rPr>
            <w:sz w:val="18"/>
            <w:szCs w:val="18"/>
          </w:rPr>
        </w:pPr>
        <w:r>
          <w:rPr>
            <w:sz w:val="18"/>
            <w:szCs w:val="18"/>
          </w:rPr>
          <w:t>Univerzita Palackého v Olomouci</w:t>
        </w:r>
        <w:bookmarkEnd w:id="12"/>
        <w:r>
          <w:rPr>
            <w:sz w:val="18"/>
            <w:szCs w:val="18"/>
          </w:rPr>
          <w:tab/>
        </w:r>
        <w:r>
          <w:rPr>
            <w:sz w:val="18"/>
            <w:szCs w:val="18"/>
          </w:rPr>
          <w:tab/>
        </w:r>
        <w:r w:rsidR="00502C50">
          <w:rPr>
            <w:sz w:val="18"/>
            <w:szCs w:val="18"/>
          </w:rPr>
          <w:tab/>
        </w:r>
        <w:r w:rsidR="00502C50">
          <w:rPr>
            <w:sz w:val="18"/>
            <w:szCs w:val="18"/>
          </w:rPr>
          <w:tab/>
        </w:r>
        <w:r w:rsidR="00502C50">
          <w:rPr>
            <w:sz w:val="18"/>
            <w:szCs w:val="18"/>
          </w:rPr>
          <w:tab/>
        </w:r>
        <w:r w:rsidR="00502C50">
          <w:rPr>
            <w:sz w:val="18"/>
            <w:szCs w:val="18"/>
          </w:rPr>
          <w:tab/>
        </w:r>
        <w:r w:rsidR="00502C50">
          <w:rPr>
            <w:sz w:val="18"/>
            <w:szCs w:val="18"/>
          </w:rPr>
          <w:tab/>
        </w:r>
        <w:r w:rsidR="00502C50">
          <w:rPr>
            <w:sz w:val="18"/>
            <w:szCs w:val="18"/>
          </w:rPr>
          <w:tab/>
        </w:r>
        <w:r w:rsidR="00502C50" w:rsidRPr="00731931">
          <w:rPr>
            <w:sz w:val="18"/>
            <w:szCs w:val="18"/>
          </w:rPr>
          <w:t xml:space="preserve">Stránka </w:t>
        </w:r>
        <w:r w:rsidR="00502C50" w:rsidRPr="00731931">
          <w:rPr>
            <w:sz w:val="18"/>
            <w:szCs w:val="18"/>
          </w:rPr>
          <w:fldChar w:fldCharType="begin"/>
        </w:r>
        <w:r w:rsidR="00502C50" w:rsidRPr="00731931">
          <w:rPr>
            <w:sz w:val="18"/>
            <w:szCs w:val="18"/>
          </w:rPr>
          <w:instrText xml:space="preserve"> PAGE </w:instrText>
        </w:r>
        <w:r w:rsidR="00502C50" w:rsidRPr="00731931">
          <w:rPr>
            <w:sz w:val="18"/>
            <w:szCs w:val="18"/>
          </w:rPr>
          <w:fldChar w:fldCharType="separate"/>
        </w:r>
        <w:r w:rsidR="000F513F">
          <w:rPr>
            <w:noProof/>
            <w:sz w:val="18"/>
            <w:szCs w:val="18"/>
          </w:rPr>
          <w:t>1</w:t>
        </w:r>
        <w:r w:rsidR="00502C50" w:rsidRPr="00731931">
          <w:rPr>
            <w:sz w:val="18"/>
            <w:szCs w:val="18"/>
          </w:rPr>
          <w:fldChar w:fldCharType="end"/>
        </w:r>
        <w:r w:rsidR="00502C50" w:rsidRPr="00731931">
          <w:rPr>
            <w:sz w:val="18"/>
            <w:szCs w:val="18"/>
          </w:rPr>
          <w:t xml:space="preserve"> z </w:t>
        </w:r>
        <w:r w:rsidR="00502C50" w:rsidRPr="00731931">
          <w:rPr>
            <w:sz w:val="18"/>
            <w:szCs w:val="18"/>
          </w:rPr>
          <w:fldChar w:fldCharType="begin"/>
        </w:r>
        <w:r w:rsidR="00502C50" w:rsidRPr="00731931">
          <w:rPr>
            <w:sz w:val="18"/>
            <w:szCs w:val="18"/>
          </w:rPr>
          <w:instrText xml:space="preserve"> NUMPAGES  </w:instrText>
        </w:r>
        <w:r w:rsidR="00502C50" w:rsidRPr="00731931">
          <w:rPr>
            <w:sz w:val="18"/>
            <w:szCs w:val="18"/>
          </w:rPr>
          <w:fldChar w:fldCharType="separate"/>
        </w:r>
        <w:r w:rsidR="000F513F">
          <w:rPr>
            <w:noProof/>
            <w:sz w:val="18"/>
            <w:szCs w:val="18"/>
          </w:rPr>
          <w:t>13</w:t>
        </w:r>
        <w:r w:rsidR="00502C50" w:rsidRPr="00731931">
          <w:rPr>
            <w:sz w:val="18"/>
            <w:szCs w:val="18"/>
          </w:rPr>
          <w:fldChar w:fldCharType="end"/>
        </w:r>
      </w:p>
    </w:sdtContent>
  </w:sdt>
  <w:p w14:paraId="63F5875C" w14:textId="15655883" w:rsidR="00502C50" w:rsidRPr="005D4CD4" w:rsidRDefault="00E13F92" w:rsidP="00F0758F">
    <w:pPr>
      <w:spacing w:line="280" w:lineRule="atLeast"/>
      <w:jc w:val="left"/>
      <w:rPr>
        <w:sz w:val="18"/>
        <w:szCs w:val="18"/>
      </w:rPr>
    </w:pPr>
    <w:bookmarkStart w:id="13" w:name="_Hlk218257263"/>
    <w:r w:rsidRPr="00E13F92">
      <w:rPr>
        <w:rFonts w:cs="Arial"/>
        <w:sz w:val="18"/>
        <w:szCs w:val="18"/>
      </w:rPr>
      <w:t>Křížkovského 511/8, 779 00 Olomouc</w:t>
    </w:r>
    <w:bookmarkEnd w:id="1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475F3" w14:textId="77777777" w:rsidR="00A74E41" w:rsidRDefault="00A74E41" w:rsidP="00226667">
      <w:r>
        <w:separator/>
      </w:r>
    </w:p>
  </w:footnote>
  <w:footnote w:type="continuationSeparator" w:id="0">
    <w:p w14:paraId="5C065E01" w14:textId="77777777" w:rsidR="00A74E41" w:rsidRDefault="00A74E41" w:rsidP="002266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1DB39" w14:textId="3836AD5C" w:rsidR="00502C50" w:rsidRDefault="00E13F92" w:rsidP="00C75758">
    <w:pPr>
      <w:pStyle w:val="Zhlav"/>
      <w:jc w:val="right"/>
      <w:rPr>
        <w:sz w:val="18"/>
        <w:szCs w:val="18"/>
      </w:rPr>
    </w:pPr>
    <w:r>
      <w:rPr>
        <w:noProof/>
      </w:rPr>
      <w:drawing>
        <wp:anchor distT="0" distB="0" distL="114300" distR="114300" simplePos="0" relativeHeight="251658240" behindDoc="0" locked="0" layoutInCell="1" allowOverlap="1" wp14:anchorId="00D95857" wp14:editId="59270595">
          <wp:simplePos x="0" y="0"/>
          <wp:positionH relativeFrom="column">
            <wp:posOffset>242570</wp:posOffset>
          </wp:positionH>
          <wp:positionV relativeFrom="paragraph">
            <wp:posOffset>-680085</wp:posOffset>
          </wp:positionV>
          <wp:extent cx="954000" cy="900000"/>
          <wp:effectExtent l="0" t="0" r="0" b="0"/>
          <wp:wrapNone/>
          <wp:docPr id="2" name="Obrázek 1" descr="Chcete si stáhnout to pravé logo UP? Publikace nebo třeba ...">
            <a:extLst xmlns:a="http://schemas.openxmlformats.org/drawingml/2006/main">
              <a:ext uri="{FF2B5EF4-FFF2-40B4-BE49-F238E27FC236}">
                <a16:creationId xmlns:a16="http://schemas.microsoft.com/office/drawing/2014/main" id="{9CD39AC0-3074-43CF-A3A4-614FC574A5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Chcete si stáhnout to pravé logo UP? Publikace nebo třeba ...">
                    <a:extLst>
                      <a:ext uri="{FF2B5EF4-FFF2-40B4-BE49-F238E27FC236}">
                        <a16:creationId xmlns:a16="http://schemas.microsoft.com/office/drawing/2014/main" id="{9CD39AC0-3074-43CF-A3A4-614FC574A5E3}"/>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40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2C50">
      <w:rPr>
        <w:sz w:val="18"/>
        <w:szCs w:val="18"/>
      </w:rPr>
      <w:t>Příloha č.</w:t>
    </w:r>
    <w:r w:rsidR="000F513F">
      <w:rPr>
        <w:sz w:val="18"/>
        <w:szCs w:val="18"/>
      </w:rPr>
      <w:t xml:space="preserve"> </w:t>
    </w:r>
    <w:r w:rsidR="00C416F6">
      <w:rPr>
        <w:sz w:val="18"/>
        <w:szCs w:val="18"/>
      </w:rPr>
      <w:t>10</w:t>
    </w:r>
  </w:p>
  <w:p w14:paraId="06EB13B5" w14:textId="77777777" w:rsidR="00C75758" w:rsidRDefault="00C75758" w:rsidP="00C75758">
    <w:pPr>
      <w:pStyle w:val="Zhlav"/>
      <w:jc w:val="right"/>
      <w:rPr>
        <w:sz w:val="20"/>
        <w:szCs w:val="20"/>
      </w:rPr>
    </w:pPr>
  </w:p>
  <w:p w14:paraId="06B3D3C8" w14:textId="1F072B15" w:rsidR="00502C50" w:rsidRDefault="00502C50" w:rsidP="00410802">
    <w:pPr>
      <w:pStyle w:val="Zhlav"/>
      <w:pBdr>
        <w:bottom w:val="single" w:sz="4" w:space="0" w:color="auto"/>
      </w:pBdr>
      <w:tabs>
        <w:tab w:val="clear" w:pos="9072"/>
        <w:tab w:val="left" w:pos="259"/>
        <w:tab w:val="right" w:pos="9070"/>
      </w:tabs>
      <w:jc w:val="right"/>
      <w:rPr>
        <w:sz w:val="20"/>
        <w:szCs w:val="20"/>
      </w:rPr>
    </w:pPr>
    <w:r>
      <w:rPr>
        <w:sz w:val="20"/>
        <w:szCs w:val="20"/>
      </w:rPr>
      <w:t xml:space="preserve">„Pojištění majetku a odpovědnosti za újmu </w:t>
    </w:r>
    <w:r w:rsidR="00E13F92">
      <w:rPr>
        <w:sz w:val="20"/>
        <w:szCs w:val="20"/>
      </w:rPr>
      <w:t>Univerzity Palackého v</w:t>
    </w:r>
    <w:r w:rsidR="007D0D2F">
      <w:rPr>
        <w:sz w:val="20"/>
        <w:szCs w:val="20"/>
      </w:rPr>
      <w:t> </w:t>
    </w:r>
    <w:r w:rsidR="00E13F92">
      <w:rPr>
        <w:sz w:val="20"/>
        <w:szCs w:val="20"/>
      </w:rPr>
      <w:t>Olomouci</w:t>
    </w:r>
    <w:r w:rsidR="007D0D2F">
      <w:rPr>
        <w:sz w:val="20"/>
        <w:szCs w:val="20"/>
      </w:rPr>
      <w:t xml:space="preserve"> 2026 – 2029</w:t>
    </w:r>
    <w:r w:rsidRPr="00CE1543">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8ECE7A8"/>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95EAA34"/>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86C8B44"/>
    <w:lvl w:ilvl="0">
      <w:start w:val="1"/>
      <w:numFmt w:val="bullet"/>
      <w:pStyle w:val="Seznamsodrkami"/>
      <w:lvlText w:val=""/>
      <w:lvlJc w:val="left"/>
      <w:pPr>
        <w:tabs>
          <w:tab w:val="num" w:pos="360"/>
        </w:tabs>
        <w:ind w:left="360" w:hanging="360"/>
      </w:pPr>
      <w:rPr>
        <w:rFonts w:ascii="Wingdings" w:hAnsi="Wingdings" w:hint="default"/>
        <w:sz w:val="24"/>
      </w:rPr>
    </w:lvl>
  </w:abstractNum>
  <w:abstractNum w:abstractNumId="3" w15:restartNumberingAfterBreak="0">
    <w:nsid w:val="020F3365"/>
    <w:multiLevelType w:val="hybridMultilevel"/>
    <w:tmpl w:val="1B9EDB14"/>
    <w:lvl w:ilvl="0" w:tplc="3BA47110">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060CBB"/>
    <w:multiLevelType w:val="hybridMultilevel"/>
    <w:tmpl w:val="1C5EBA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193725"/>
    <w:multiLevelType w:val="hybridMultilevel"/>
    <w:tmpl w:val="169EF240"/>
    <w:lvl w:ilvl="0" w:tplc="E2F42E36">
      <w:start w:val="1"/>
      <w:numFmt w:val="lowerLetter"/>
      <w:lvlText w:val="%1)"/>
      <w:lvlJc w:val="left"/>
      <w:pPr>
        <w:ind w:left="587" w:hanging="360"/>
      </w:pPr>
      <w:rPr>
        <w:rFonts w:hint="default"/>
      </w:rPr>
    </w:lvl>
    <w:lvl w:ilvl="1" w:tplc="04050019" w:tentative="1">
      <w:start w:val="1"/>
      <w:numFmt w:val="lowerLetter"/>
      <w:lvlText w:val="%2."/>
      <w:lvlJc w:val="left"/>
      <w:pPr>
        <w:ind w:left="1307" w:hanging="360"/>
      </w:pPr>
    </w:lvl>
    <w:lvl w:ilvl="2" w:tplc="0405001B" w:tentative="1">
      <w:start w:val="1"/>
      <w:numFmt w:val="lowerRoman"/>
      <w:lvlText w:val="%3."/>
      <w:lvlJc w:val="right"/>
      <w:pPr>
        <w:ind w:left="2027" w:hanging="180"/>
      </w:pPr>
    </w:lvl>
    <w:lvl w:ilvl="3" w:tplc="0405000F" w:tentative="1">
      <w:start w:val="1"/>
      <w:numFmt w:val="decimal"/>
      <w:lvlText w:val="%4."/>
      <w:lvlJc w:val="left"/>
      <w:pPr>
        <w:ind w:left="2747" w:hanging="360"/>
      </w:pPr>
    </w:lvl>
    <w:lvl w:ilvl="4" w:tplc="04050019" w:tentative="1">
      <w:start w:val="1"/>
      <w:numFmt w:val="lowerLetter"/>
      <w:lvlText w:val="%5."/>
      <w:lvlJc w:val="left"/>
      <w:pPr>
        <w:ind w:left="3467" w:hanging="360"/>
      </w:pPr>
    </w:lvl>
    <w:lvl w:ilvl="5" w:tplc="0405001B" w:tentative="1">
      <w:start w:val="1"/>
      <w:numFmt w:val="lowerRoman"/>
      <w:lvlText w:val="%6."/>
      <w:lvlJc w:val="right"/>
      <w:pPr>
        <w:ind w:left="4187" w:hanging="180"/>
      </w:pPr>
    </w:lvl>
    <w:lvl w:ilvl="6" w:tplc="0405000F" w:tentative="1">
      <w:start w:val="1"/>
      <w:numFmt w:val="decimal"/>
      <w:lvlText w:val="%7."/>
      <w:lvlJc w:val="left"/>
      <w:pPr>
        <w:ind w:left="4907" w:hanging="360"/>
      </w:pPr>
    </w:lvl>
    <w:lvl w:ilvl="7" w:tplc="04050019" w:tentative="1">
      <w:start w:val="1"/>
      <w:numFmt w:val="lowerLetter"/>
      <w:lvlText w:val="%8."/>
      <w:lvlJc w:val="left"/>
      <w:pPr>
        <w:ind w:left="5627" w:hanging="360"/>
      </w:pPr>
    </w:lvl>
    <w:lvl w:ilvl="8" w:tplc="0405001B" w:tentative="1">
      <w:start w:val="1"/>
      <w:numFmt w:val="lowerRoman"/>
      <w:lvlText w:val="%9."/>
      <w:lvlJc w:val="right"/>
      <w:pPr>
        <w:ind w:left="6347" w:hanging="180"/>
      </w:pPr>
    </w:lvl>
  </w:abstractNum>
  <w:abstractNum w:abstractNumId="6" w15:restartNumberingAfterBreak="0">
    <w:nsid w:val="0E161FF9"/>
    <w:multiLevelType w:val="hybridMultilevel"/>
    <w:tmpl w:val="6E180DE6"/>
    <w:lvl w:ilvl="0" w:tplc="213092E8">
      <w:start w:val="1"/>
      <w:numFmt w:val="decimal"/>
      <w:lvlText w:val="1.%1."/>
      <w:lvlJc w:val="left"/>
      <w:pPr>
        <w:ind w:left="786" w:hanging="360"/>
      </w:pPr>
      <w:rPr>
        <w:rFonts w:ascii="Arial" w:hAnsi="Arial" w:hint="default"/>
        <w:b/>
        <w:i w:val="0"/>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1861C7"/>
    <w:multiLevelType w:val="hybridMultilevel"/>
    <w:tmpl w:val="52446F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0274DD"/>
    <w:multiLevelType w:val="multilevel"/>
    <w:tmpl w:val="271CCF9A"/>
    <w:lvl w:ilvl="0">
      <w:start w:val="1"/>
      <w:numFmt w:val="decimal"/>
      <w:lvlText w:val="%1)"/>
      <w:lvlJc w:val="left"/>
      <w:pPr>
        <w:tabs>
          <w:tab w:val="num" w:pos="643"/>
        </w:tabs>
        <w:ind w:left="643" w:hanging="360"/>
      </w:pPr>
      <w:rPr>
        <w:rFonts w:hint="default"/>
      </w:rPr>
    </w:lvl>
    <w:lvl w:ilvl="1">
      <w:start w:val="1"/>
      <w:numFmt w:val="lowerLetter"/>
      <w:pStyle w:val="slovanseznam2"/>
      <w:lvlText w:val="%2)"/>
      <w:lvlJc w:val="left"/>
      <w:pPr>
        <w:tabs>
          <w:tab w:val="num" w:pos="1003"/>
        </w:tabs>
        <w:ind w:left="1003" w:hanging="360"/>
      </w:pPr>
      <w:rPr>
        <w:rFonts w:hint="default"/>
      </w:rPr>
    </w:lvl>
    <w:lvl w:ilvl="2">
      <w:start w:val="1"/>
      <w:numFmt w:val="lowerRoman"/>
      <w:lvlText w:val="%3)"/>
      <w:lvlJc w:val="left"/>
      <w:pPr>
        <w:tabs>
          <w:tab w:val="num" w:pos="1363"/>
        </w:tabs>
        <w:ind w:left="1363" w:hanging="360"/>
      </w:pPr>
      <w:rPr>
        <w:rFonts w:hint="default"/>
      </w:rPr>
    </w:lvl>
    <w:lvl w:ilvl="3">
      <w:start w:val="1"/>
      <w:numFmt w:val="decimal"/>
      <w:lvlText w:val="(%4)"/>
      <w:lvlJc w:val="left"/>
      <w:pPr>
        <w:tabs>
          <w:tab w:val="num" w:pos="1723"/>
        </w:tabs>
        <w:ind w:left="1723" w:hanging="360"/>
      </w:pPr>
      <w:rPr>
        <w:rFonts w:hint="default"/>
      </w:rPr>
    </w:lvl>
    <w:lvl w:ilvl="4">
      <w:start w:val="1"/>
      <w:numFmt w:val="lowerLetter"/>
      <w:lvlText w:val="(%5)"/>
      <w:lvlJc w:val="left"/>
      <w:pPr>
        <w:tabs>
          <w:tab w:val="num" w:pos="2083"/>
        </w:tabs>
        <w:ind w:left="2083" w:hanging="360"/>
      </w:pPr>
      <w:rPr>
        <w:rFonts w:hint="default"/>
      </w:rPr>
    </w:lvl>
    <w:lvl w:ilvl="5">
      <w:numFmt w:val="none"/>
      <w:lvlText w:val=""/>
      <w:lvlJc w:val="left"/>
      <w:pPr>
        <w:tabs>
          <w:tab w:val="num" w:pos="360"/>
        </w:tabs>
      </w:pPr>
    </w:lvl>
    <w:lvl w:ilvl="6">
      <w:start w:val="1"/>
      <w:numFmt w:val="decimal"/>
      <w:lvlText w:val="%7."/>
      <w:lvlJc w:val="left"/>
      <w:pPr>
        <w:tabs>
          <w:tab w:val="num" w:pos="2803"/>
        </w:tabs>
        <w:ind w:left="2803" w:hanging="360"/>
      </w:pPr>
      <w:rPr>
        <w:rFonts w:hint="default"/>
      </w:rPr>
    </w:lvl>
    <w:lvl w:ilvl="7">
      <w:start w:val="1"/>
      <w:numFmt w:val="lowerLetter"/>
      <w:lvlText w:val="%8."/>
      <w:lvlJc w:val="left"/>
      <w:pPr>
        <w:tabs>
          <w:tab w:val="num" w:pos="3163"/>
        </w:tabs>
        <w:ind w:left="3163" w:hanging="360"/>
      </w:pPr>
      <w:rPr>
        <w:rFonts w:hint="default"/>
      </w:rPr>
    </w:lvl>
    <w:lvl w:ilvl="8">
      <w:start w:val="1"/>
      <w:numFmt w:val="lowerRoman"/>
      <w:lvlText w:val="%9."/>
      <w:lvlJc w:val="left"/>
      <w:pPr>
        <w:tabs>
          <w:tab w:val="num" w:pos="3523"/>
        </w:tabs>
        <w:ind w:left="3523" w:hanging="360"/>
      </w:pPr>
      <w:rPr>
        <w:rFonts w:hint="default"/>
      </w:rPr>
    </w:lvl>
  </w:abstractNum>
  <w:abstractNum w:abstractNumId="9" w15:restartNumberingAfterBreak="0">
    <w:nsid w:val="1A1B3D94"/>
    <w:multiLevelType w:val="hybridMultilevel"/>
    <w:tmpl w:val="5EAA3B30"/>
    <w:lvl w:ilvl="0" w:tplc="04050017">
      <w:start w:val="1"/>
      <w:numFmt w:val="lowerLetter"/>
      <w:lvlText w:val="%1)"/>
      <w:lvlJc w:val="left"/>
      <w:pPr>
        <w:ind w:left="1304" w:hanging="360"/>
      </w:pPr>
    </w:lvl>
    <w:lvl w:ilvl="1" w:tplc="04050019" w:tentative="1">
      <w:start w:val="1"/>
      <w:numFmt w:val="lowerLetter"/>
      <w:lvlText w:val="%2."/>
      <w:lvlJc w:val="left"/>
      <w:pPr>
        <w:ind w:left="2024" w:hanging="360"/>
      </w:pPr>
    </w:lvl>
    <w:lvl w:ilvl="2" w:tplc="0405001B" w:tentative="1">
      <w:start w:val="1"/>
      <w:numFmt w:val="lowerRoman"/>
      <w:lvlText w:val="%3."/>
      <w:lvlJc w:val="right"/>
      <w:pPr>
        <w:ind w:left="2744" w:hanging="180"/>
      </w:pPr>
    </w:lvl>
    <w:lvl w:ilvl="3" w:tplc="0405000F" w:tentative="1">
      <w:start w:val="1"/>
      <w:numFmt w:val="decimal"/>
      <w:lvlText w:val="%4."/>
      <w:lvlJc w:val="left"/>
      <w:pPr>
        <w:ind w:left="3464" w:hanging="360"/>
      </w:pPr>
    </w:lvl>
    <w:lvl w:ilvl="4" w:tplc="04050019" w:tentative="1">
      <w:start w:val="1"/>
      <w:numFmt w:val="lowerLetter"/>
      <w:lvlText w:val="%5."/>
      <w:lvlJc w:val="left"/>
      <w:pPr>
        <w:ind w:left="4184" w:hanging="360"/>
      </w:pPr>
    </w:lvl>
    <w:lvl w:ilvl="5" w:tplc="0405001B" w:tentative="1">
      <w:start w:val="1"/>
      <w:numFmt w:val="lowerRoman"/>
      <w:lvlText w:val="%6."/>
      <w:lvlJc w:val="right"/>
      <w:pPr>
        <w:ind w:left="4904" w:hanging="180"/>
      </w:pPr>
    </w:lvl>
    <w:lvl w:ilvl="6" w:tplc="0405000F" w:tentative="1">
      <w:start w:val="1"/>
      <w:numFmt w:val="decimal"/>
      <w:lvlText w:val="%7."/>
      <w:lvlJc w:val="left"/>
      <w:pPr>
        <w:ind w:left="5624" w:hanging="360"/>
      </w:pPr>
    </w:lvl>
    <w:lvl w:ilvl="7" w:tplc="04050019" w:tentative="1">
      <w:start w:val="1"/>
      <w:numFmt w:val="lowerLetter"/>
      <w:lvlText w:val="%8."/>
      <w:lvlJc w:val="left"/>
      <w:pPr>
        <w:ind w:left="6344" w:hanging="360"/>
      </w:pPr>
    </w:lvl>
    <w:lvl w:ilvl="8" w:tplc="0405001B" w:tentative="1">
      <w:start w:val="1"/>
      <w:numFmt w:val="lowerRoman"/>
      <w:lvlText w:val="%9."/>
      <w:lvlJc w:val="right"/>
      <w:pPr>
        <w:ind w:left="7064" w:hanging="180"/>
      </w:pPr>
    </w:lvl>
  </w:abstractNum>
  <w:abstractNum w:abstractNumId="10" w15:restartNumberingAfterBreak="0">
    <w:nsid w:val="25D52774"/>
    <w:multiLevelType w:val="hybridMultilevel"/>
    <w:tmpl w:val="E8045E30"/>
    <w:lvl w:ilvl="0" w:tplc="04208416">
      <w:numFmt w:val="bullet"/>
      <w:lvlText w:val="-"/>
      <w:lvlJc w:val="left"/>
      <w:pPr>
        <w:ind w:left="587" w:hanging="360"/>
      </w:pPr>
      <w:rPr>
        <w:rFonts w:ascii="Arial" w:eastAsia="Times New Roman" w:hAnsi="Arial" w:cs="Arial" w:hint="default"/>
      </w:rPr>
    </w:lvl>
    <w:lvl w:ilvl="1" w:tplc="04050003" w:tentative="1">
      <w:start w:val="1"/>
      <w:numFmt w:val="bullet"/>
      <w:lvlText w:val="o"/>
      <w:lvlJc w:val="left"/>
      <w:pPr>
        <w:ind w:left="1307" w:hanging="360"/>
      </w:pPr>
      <w:rPr>
        <w:rFonts w:ascii="Courier New" w:hAnsi="Courier New" w:cs="Courier New" w:hint="default"/>
      </w:rPr>
    </w:lvl>
    <w:lvl w:ilvl="2" w:tplc="04050005" w:tentative="1">
      <w:start w:val="1"/>
      <w:numFmt w:val="bullet"/>
      <w:lvlText w:val=""/>
      <w:lvlJc w:val="left"/>
      <w:pPr>
        <w:ind w:left="2027" w:hanging="360"/>
      </w:pPr>
      <w:rPr>
        <w:rFonts w:ascii="Wingdings" w:hAnsi="Wingdings" w:hint="default"/>
      </w:rPr>
    </w:lvl>
    <w:lvl w:ilvl="3" w:tplc="04050001" w:tentative="1">
      <w:start w:val="1"/>
      <w:numFmt w:val="bullet"/>
      <w:lvlText w:val=""/>
      <w:lvlJc w:val="left"/>
      <w:pPr>
        <w:ind w:left="2747" w:hanging="360"/>
      </w:pPr>
      <w:rPr>
        <w:rFonts w:ascii="Symbol" w:hAnsi="Symbol" w:hint="default"/>
      </w:rPr>
    </w:lvl>
    <w:lvl w:ilvl="4" w:tplc="04050003" w:tentative="1">
      <w:start w:val="1"/>
      <w:numFmt w:val="bullet"/>
      <w:lvlText w:val="o"/>
      <w:lvlJc w:val="left"/>
      <w:pPr>
        <w:ind w:left="3467" w:hanging="360"/>
      </w:pPr>
      <w:rPr>
        <w:rFonts w:ascii="Courier New" w:hAnsi="Courier New" w:cs="Courier New" w:hint="default"/>
      </w:rPr>
    </w:lvl>
    <w:lvl w:ilvl="5" w:tplc="04050005" w:tentative="1">
      <w:start w:val="1"/>
      <w:numFmt w:val="bullet"/>
      <w:lvlText w:val=""/>
      <w:lvlJc w:val="left"/>
      <w:pPr>
        <w:ind w:left="4187" w:hanging="360"/>
      </w:pPr>
      <w:rPr>
        <w:rFonts w:ascii="Wingdings" w:hAnsi="Wingdings" w:hint="default"/>
      </w:rPr>
    </w:lvl>
    <w:lvl w:ilvl="6" w:tplc="04050001" w:tentative="1">
      <w:start w:val="1"/>
      <w:numFmt w:val="bullet"/>
      <w:lvlText w:val=""/>
      <w:lvlJc w:val="left"/>
      <w:pPr>
        <w:ind w:left="4907" w:hanging="360"/>
      </w:pPr>
      <w:rPr>
        <w:rFonts w:ascii="Symbol" w:hAnsi="Symbol" w:hint="default"/>
      </w:rPr>
    </w:lvl>
    <w:lvl w:ilvl="7" w:tplc="04050003" w:tentative="1">
      <w:start w:val="1"/>
      <w:numFmt w:val="bullet"/>
      <w:lvlText w:val="o"/>
      <w:lvlJc w:val="left"/>
      <w:pPr>
        <w:ind w:left="5627" w:hanging="360"/>
      </w:pPr>
      <w:rPr>
        <w:rFonts w:ascii="Courier New" w:hAnsi="Courier New" w:cs="Courier New" w:hint="default"/>
      </w:rPr>
    </w:lvl>
    <w:lvl w:ilvl="8" w:tplc="04050005" w:tentative="1">
      <w:start w:val="1"/>
      <w:numFmt w:val="bullet"/>
      <w:lvlText w:val=""/>
      <w:lvlJc w:val="left"/>
      <w:pPr>
        <w:ind w:left="6347" w:hanging="360"/>
      </w:pPr>
      <w:rPr>
        <w:rFonts w:ascii="Wingdings" w:hAnsi="Wingdings" w:hint="default"/>
      </w:rPr>
    </w:lvl>
  </w:abstractNum>
  <w:abstractNum w:abstractNumId="11" w15:restartNumberingAfterBreak="0">
    <w:nsid w:val="27773D5E"/>
    <w:multiLevelType w:val="hybridMultilevel"/>
    <w:tmpl w:val="F73EAAC8"/>
    <w:lvl w:ilvl="0" w:tplc="04208416">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9560428"/>
    <w:multiLevelType w:val="multilevel"/>
    <w:tmpl w:val="840C67DE"/>
    <w:lvl w:ilvl="0">
      <w:start w:val="1"/>
      <w:numFmt w:val="decimal"/>
      <w:lvlText w:val="%1)"/>
      <w:lvlJc w:val="left"/>
      <w:pPr>
        <w:ind w:left="432" w:hanging="432"/>
      </w:pPr>
      <w:rPr>
        <w:rFonts w:ascii="Arial" w:hAnsi="Arial" w:hint="default"/>
        <w:b/>
        <w:i w:val="0"/>
        <w:color w:val="283164"/>
        <w:sz w:val="24"/>
      </w:rPr>
    </w:lvl>
    <w:lvl w:ilvl="1">
      <w:start w:val="1"/>
      <w:numFmt w:val="decimal"/>
      <w:pStyle w:val="Nadpis2"/>
      <w:lvlText w:val="%2)"/>
      <w:lvlJc w:val="left"/>
      <w:pPr>
        <w:ind w:left="576" w:hanging="576"/>
      </w:pPr>
      <w:rPr>
        <w:rFonts w:hint="default"/>
      </w:rPr>
    </w:lvl>
    <w:lvl w:ilvl="2">
      <w:start w:val="1"/>
      <w:numFmt w:val="decimal"/>
      <w:pStyle w:val="Nadpis3"/>
      <w:suff w:val="space"/>
      <w:lvlText w:val="%1.%2.%3 "/>
      <w:lvlJc w:val="left"/>
      <w:pPr>
        <w:ind w:left="720" w:hanging="720"/>
      </w:pPr>
      <w:rPr>
        <w:rFonts w:hint="default"/>
      </w:rPr>
    </w:lvl>
    <w:lvl w:ilvl="3">
      <w:start w:val="1"/>
      <w:numFmt w:val="decimal"/>
      <w:suff w:val="space"/>
      <w:lvlText w:val="%1.%2.%3.%4 "/>
      <w:lvlJc w:val="left"/>
      <w:pPr>
        <w:ind w:left="864" w:hanging="864"/>
      </w:pPr>
      <w:rPr>
        <w:rFonts w:hint="default"/>
      </w:rPr>
    </w:lvl>
    <w:lvl w:ilvl="4">
      <w:start w:val="1"/>
      <w:numFmt w:val="decimal"/>
      <w:suff w:val="space"/>
      <w:lvlText w:val="%1.%2.%3.%4.%5 "/>
      <w:lvlJc w:val="left"/>
      <w:pPr>
        <w:ind w:left="1008" w:hanging="1008"/>
      </w:pPr>
      <w:rPr>
        <w:rFonts w:hint="default"/>
      </w:rPr>
    </w:lvl>
    <w:lvl w:ilvl="5">
      <w:start w:val="1"/>
      <w:numFmt w:val="decimal"/>
      <w:suff w:val="space"/>
      <w:lvlText w:val="%1.%2.%3.%4.%5.%6 "/>
      <w:lvlJc w:val="left"/>
      <w:pPr>
        <w:ind w:left="1152" w:hanging="1152"/>
      </w:pPr>
      <w:rPr>
        <w:rFonts w:hint="default"/>
      </w:rPr>
    </w:lvl>
    <w:lvl w:ilvl="6">
      <w:start w:val="1"/>
      <w:numFmt w:val="decimal"/>
      <w:suff w:val="space"/>
      <w:lvlText w:val="%1.%2.%3.%4.%5.%6.%7 "/>
      <w:lvlJc w:val="left"/>
      <w:pPr>
        <w:ind w:left="1296" w:hanging="1296"/>
      </w:pPr>
      <w:rPr>
        <w:rFonts w:hint="default"/>
      </w:rPr>
    </w:lvl>
    <w:lvl w:ilvl="7">
      <w:start w:val="1"/>
      <w:numFmt w:val="decimal"/>
      <w:suff w:val="space"/>
      <w:lvlText w:val="%1.%2.%3.%4.%5.%6.%7.%8 "/>
      <w:lvlJc w:val="left"/>
      <w:pPr>
        <w:ind w:left="1440" w:hanging="1440"/>
      </w:pPr>
      <w:rPr>
        <w:rFonts w:hint="default"/>
      </w:rPr>
    </w:lvl>
    <w:lvl w:ilvl="8">
      <w:start w:val="1"/>
      <w:numFmt w:val="decimal"/>
      <w:suff w:val="space"/>
      <w:lvlText w:val="%1.%2.%3.%4.%5.%6.%7.%8.%9 "/>
      <w:lvlJc w:val="left"/>
      <w:pPr>
        <w:ind w:left="1584" w:hanging="1584"/>
      </w:pPr>
      <w:rPr>
        <w:rFonts w:hint="default"/>
      </w:rPr>
    </w:lvl>
  </w:abstractNum>
  <w:abstractNum w:abstractNumId="13" w15:restartNumberingAfterBreak="0">
    <w:nsid w:val="29607A47"/>
    <w:multiLevelType w:val="hybridMultilevel"/>
    <w:tmpl w:val="995871AC"/>
    <w:lvl w:ilvl="0" w:tplc="830E58FE">
      <w:start w:val="1"/>
      <w:numFmt w:val="lowerLetter"/>
      <w:lvlText w:val="%1)"/>
      <w:lvlJc w:val="left"/>
      <w:pPr>
        <w:ind w:left="13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08484A"/>
    <w:multiLevelType w:val="hybridMultilevel"/>
    <w:tmpl w:val="1896743E"/>
    <w:lvl w:ilvl="0" w:tplc="3F38DBF4">
      <w:start w:val="1"/>
      <w:numFmt w:val="decimal"/>
      <w:lvlText w:val="%1."/>
      <w:lvlJc w:val="left"/>
      <w:pPr>
        <w:tabs>
          <w:tab w:val="num" w:pos="1068"/>
        </w:tabs>
        <w:ind w:left="1068" w:hanging="360"/>
      </w:pPr>
      <w:rPr>
        <w:rFonts w:hint="default"/>
        <w:b/>
      </w:rPr>
    </w:lvl>
    <w:lvl w:ilvl="1" w:tplc="FFFFFFFF">
      <w:start w:val="1"/>
      <w:numFmt w:val="lowerLetter"/>
      <w:lvlText w:val="%2)"/>
      <w:lvlJc w:val="left"/>
      <w:pPr>
        <w:tabs>
          <w:tab w:val="num" w:pos="1788"/>
        </w:tabs>
        <w:ind w:left="1788" w:hanging="360"/>
      </w:pPr>
      <w:rPr>
        <w:rFonts w:hint="default"/>
      </w:rPr>
    </w:lvl>
    <w:lvl w:ilvl="2" w:tplc="FFFFFFFF">
      <w:start w:val="1"/>
      <w:numFmt w:val="lowerLetter"/>
      <w:lvlText w:val="%3."/>
      <w:lvlJc w:val="left"/>
      <w:pPr>
        <w:tabs>
          <w:tab w:val="num" w:pos="2688"/>
        </w:tabs>
        <w:ind w:left="2688" w:hanging="360"/>
      </w:pPr>
      <w:rPr>
        <w:rFonts w:hint="default"/>
      </w:rPr>
    </w:lvl>
    <w:lvl w:ilvl="3" w:tplc="FFFFFFFF">
      <w:start w:val="1"/>
      <w:numFmt w:val="lowerLetter"/>
      <w:lvlText w:val="%4-"/>
      <w:lvlJc w:val="left"/>
      <w:pPr>
        <w:tabs>
          <w:tab w:val="num" w:pos="3228"/>
        </w:tabs>
        <w:ind w:left="3228" w:hanging="360"/>
      </w:pPr>
      <w:rPr>
        <w:rFonts w:hint="default"/>
      </w:r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5" w15:restartNumberingAfterBreak="0">
    <w:nsid w:val="37F606F1"/>
    <w:multiLevelType w:val="hybridMultilevel"/>
    <w:tmpl w:val="2F009402"/>
    <w:lvl w:ilvl="0" w:tplc="CFF68D7C">
      <w:start w:val="1"/>
      <w:numFmt w:val="lowerLetter"/>
      <w:lvlText w:val="%1)"/>
      <w:lvlJc w:val="left"/>
      <w:pPr>
        <w:ind w:left="587" w:hanging="360"/>
      </w:pPr>
      <w:rPr>
        <w:rFonts w:hint="default"/>
      </w:rPr>
    </w:lvl>
    <w:lvl w:ilvl="1" w:tplc="04050019" w:tentative="1">
      <w:start w:val="1"/>
      <w:numFmt w:val="lowerLetter"/>
      <w:lvlText w:val="%2."/>
      <w:lvlJc w:val="left"/>
      <w:pPr>
        <w:ind w:left="1307" w:hanging="360"/>
      </w:pPr>
    </w:lvl>
    <w:lvl w:ilvl="2" w:tplc="0405001B" w:tentative="1">
      <w:start w:val="1"/>
      <w:numFmt w:val="lowerRoman"/>
      <w:lvlText w:val="%3."/>
      <w:lvlJc w:val="right"/>
      <w:pPr>
        <w:ind w:left="2027" w:hanging="180"/>
      </w:pPr>
    </w:lvl>
    <w:lvl w:ilvl="3" w:tplc="0405000F" w:tentative="1">
      <w:start w:val="1"/>
      <w:numFmt w:val="decimal"/>
      <w:lvlText w:val="%4."/>
      <w:lvlJc w:val="left"/>
      <w:pPr>
        <w:ind w:left="2747" w:hanging="360"/>
      </w:pPr>
    </w:lvl>
    <w:lvl w:ilvl="4" w:tplc="04050019" w:tentative="1">
      <w:start w:val="1"/>
      <w:numFmt w:val="lowerLetter"/>
      <w:lvlText w:val="%5."/>
      <w:lvlJc w:val="left"/>
      <w:pPr>
        <w:ind w:left="3467" w:hanging="360"/>
      </w:pPr>
    </w:lvl>
    <w:lvl w:ilvl="5" w:tplc="0405001B" w:tentative="1">
      <w:start w:val="1"/>
      <w:numFmt w:val="lowerRoman"/>
      <w:lvlText w:val="%6."/>
      <w:lvlJc w:val="right"/>
      <w:pPr>
        <w:ind w:left="4187" w:hanging="180"/>
      </w:pPr>
    </w:lvl>
    <w:lvl w:ilvl="6" w:tplc="0405000F" w:tentative="1">
      <w:start w:val="1"/>
      <w:numFmt w:val="decimal"/>
      <w:lvlText w:val="%7."/>
      <w:lvlJc w:val="left"/>
      <w:pPr>
        <w:ind w:left="4907" w:hanging="360"/>
      </w:pPr>
    </w:lvl>
    <w:lvl w:ilvl="7" w:tplc="04050019" w:tentative="1">
      <w:start w:val="1"/>
      <w:numFmt w:val="lowerLetter"/>
      <w:lvlText w:val="%8."/>
      <w:lvlJc w:val="left"/>
      <w:pPr>
        <w:ind w:left="5627" w:hanging="360"/>
      </w:pPr>
    </w:lvl>
    <w:lvl w:ilvl="8" w:tplc="0405001B" w:tentative="1">
      <w:start w:val="1"/>
      <w:numFmt w:val="lowerRoman"/>
      <w:lvlText w:val="%9."/>
      <w:lvlJc w:val="right"/>
      <w:pPr>
        <w:ind w:left="6347" w:hanging="180"/>
      </w:pPr>
    </w:lvl>
  </w:abstractNum>
  <w:abstractNum w:abstractNumId="16" w15:restartNumberingAfterBreak="0">
    <w:nsid w:val="39703C34"/>
    <w:multiLevelType w:val="hybridMultilevel"/>
    <w:tmpl w:val="0A82704E"/>
    <w:lvl w:ilvl="0" w:tplc="D67269E6">
      <w:start w:val="1"/>
      <w:numFmt w:val="lowerLetter"/>
      <w:lvlText w:val="%1)"/>
      <w:lvlJc w:val="left"/>
      <w:pPr>
        <w:ind w:left="587" w:hanging="360"/>
      </w:pPr>
      <w:rPr>
        <w:rFonts w:hint="default"/>
      </w:rPr>
    </w:lvl>
    <w:lvl w:ilvl="1" w:tplc="04050019" w:tentative="1">
      <w:start w:val="1"/>
      <w:numFmt w:val="lowerLetter"/>
      <w:lvlText w:val="%2."/>
      <w:lvlJc w:val="left"/>
      <w:pPr>
        <w:ind w:left="1307" w:hanging="360"/>
      </w:pPr>
    </w:lvl>
    <w:lvl w:ilvl="2" w:tplc="0405001B" w:tentative="1">
      <w:start w:val="1"/>
      <w:numFmt w:val="lowerRoman"/>
      <w:lvlText w:val="%3."/>
      <w:lvlJc w:val="right"/>
      <w:pPr>
        <w:ind w:left="2027" w:hanging="180"/>
      </w:pPr>
    </w:lvl>
    <w:lvl w:ilvl="3" w:tplc="0405000F" w:tentative="1">
      <w:start w:val="1"/>
      <w:numFmt w:val="decimal"/>
      <w:lvlText w:val="%4."/>
      <w:lvlJc w:val="left"/>
      <w:pPr>
        <w:ind w:left="2747" w:hanging="360"/>
      </w:pPr>
    </w:lvl>
    <w:lvl w:ilvl="4" w:tplc="04050019" w:tentative="1">
      <w:start w:val="1"/>
      <w:numFmt w:val="lowerLetter"/>
      <w:lvlText w:val="%5."/>
      <w:lvlJc w:val="left"/>
      <w:pPr>
        <w:ind w:left="3467" w:hanging="360"/>
      </w:pPr>
    </w:lvl>
    <w:lvl w:ilvl="5" w:tplc="0405001B" w:tentative="1">
      <w:start w:val="1"/>
      <w:numFmt w:val="lowerRoman"/>
      <w:lvlText w:val="%6."/>
      <w:lvlJc w:val="right"/>
      <w:pPr>
        <w:ind w:left="4187" w:hanging="180"/>
      </w:pPr>
    </w:lvl>
    <w:lvl w:ilvl="6" w:tplc="0405000F" w:tentative="1">
      <w:start w:val="1"/>
      <w:numFmt w:val="decimal"/>
      <w:lvlText w:val="%7."/>
      <w:lvlJc w:val="left"/>
      <w:pPr>
        <w:ind w:left="4907" w:hanging="360"/>
      </w:pPr>
    </w:lvl>
    <w:lvl w:ilvl="7" w:tplc="04050019" w:tentative="1">
      <w:start w:val="1"/>
      <w:numFmt w:val="lowerLetter"/>
      <w:lvlText w:val="%8."/>
      <w:lvlJc w:val="left"/>
      <w:pPr>
        <w:ind w:left="5627" w:hanging="360"/>
      </w:pPr>
    </w:lvl>
    <w:lvl w:ilvl="8" w:tplc="0405001B" w:tentative="1">
      <w:start w:val="1"/>
      <w:numFmt w:val="lowerRoman"/>
      <w:lvlText w:val="%9."/>
      <w:lvlJc w:val="right"/>
      <w:pPr>
        <w:ind w:left="6347" w:hanging="180"/>
      </w:pPr>
    </w:lvl>
  </w:abstractNum>
  <w:abstractNum w:abstractNumId="17" w15:restartNumberingAfterBreak="0">
    <w:nsid w:val="3CC473D0"/>
    <w:multiLevelType w:val="hybridMultilevel"/>
    <w:tmpl w:val="A5D66EEE"/>
    <w:lvl w:ilvl="0" w:tplc="42FE5BD8">
      <w:start w:val="1"/>
      <w:numFmt w:val="decimal"/>
      <w:lvlText w:val="2.%1."/>
      <w:lvlJc w:val="left"/>
      <w:pPr>
        <w:ind w:left="502" w:hanging="360"/>
      </w:pPr>
      <w:rPr>
        <w:rFonts w:ascii="Arial" w:hAnsi="Arial" w:hint="default"/>
        <w:b/>
        <w:i w:val="0"/>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CA1E01"/>
    <w:multiLevelType w:val="multilevel"/>
    <w:tmpl w:val="FAD6AFAC"/>
    <w:lvl w:ilvl="0">
      <w:start w:val="1"/>
      <w:numFmt w:val="decimal"/>
      <w:lvlText w:val="3.%1."/>
      <w:lvlJc w:val="left"/>
      <w:pPr>
        <w:ind w:left="502" w:hanging="360"/>
      </w:pPr>
      <w:rPr>
        <w:rFonts w:ascii="Arial" w:hAnsi="Arial" w:hint="default"/>
        <w:b/>
        <w:i w:val="0"/>
        <w:color w:val="auto"/>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CA631EC"/>
    <w:multiLevelType w:val="multilevel"/>
    <w:tmpl w:val="63EE06D6"/>
    <w:lvl w:ilvl="0">
      <w:start w:val="1"/>
      <w:numFmt w:val="decimal"/>
      <w:pStyle w:val="slovanseznam"/>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1341193"/>
    <w:multiLevelType w:val="hybridMultilevel"/>
    <w:tmpl w:val="21285EDC"/>
    <w:lvl w:ilvl="0" w:tplc="64BE35A2">
      <w:start w:val="1"/>
      <w:numFmt w:val="lowerLetter"/>
      <w:lvlText w:val="%1."/>
      <w:lvlJc w:val="left"/>
      <w:pPr>
        <w:tabs>
          <w:tab w:val="num" w:pos="720"/>
        </w:tabs>
        <w:ind w:left="720" w:hanging="360"/>
      </w:pPr>
      <w:rPr>
        <w:rFonts w:hint="default"/>
      </w:rPr>
    </w:lvl>
    <w:lvl w:ilvl="1" w:tplc="A0709A10">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6055020"/>
    <w:multiLevelType w:val="multilevel"/>
    <w:tmpl w:val="56383E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F73A59"/>
    <w:multiLevelType w:val="hybridMultilevel"/>
    <w:tmpl w:val="E23CD154"/>
    <w:lvl w:ilvl="0" w:tplc="1A06CE5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6AF1AE8"/>
    <w:multiLevelType w:val="hybridMultilevel"/>
    <w:tmpl w:val="761472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A12673B"/>
    <w:multiLevelType w:val="hybridMultilevel"/>
    <w:tmpl w:val="995855FE"/>
    <w:lvl w:ilvl="0" w:tplc="3B74205A">
      <w:start w:val="1"/>
      <w:numFmt w:val="lowerLetter"/>
      <w:lvlText w:val="%1)"/>
      <w:lvlJc w:val="left"/>
      <w:pPr>
        <w:ind w:left="720" w:hanging="360"/>
      </w:pPr>
      <w:rPr>
        <w:rFonts w:hint="default"/>
      </w:rPr>
    </w:lvl>
    <w:lvl w:ilvl="1" w:tplc="7EE6B872" w:tentative="1">
      <w:start w:val="1"/>
      <w:numFmt w:val="lowerLetter"/>
      <w:lvlText w:val="%2."/>
      <w:lvlJc w:val="left"/>
      <w:pPr>
        <w:ind w:left="1440" w:hanging="360"/>
      </w:pPr>
    </w:lvl>
    <w:lvl w:ilvl="2" w:tplc="9C18BED4" w:tentative="1">
      <w:start w:val="1"/>
      <w:numFmt w:val="lowerRoman"/>
      <w:lvlText w:val="%3."/>
      <w:lvlJc w:val="right"/>
      <w:pPr>
        <w:ind w:left="2160" w:hanging="180"/>
      </w:pPr>
    </w:lvl>
    <w:lvl w:ilvl="3" w:tplc="79A66A50" w:tentative="1">
      <w:start w:val="1"/>
      <w:numFmt w:val="decimal"/>
      <w:lvlText w:val="%4."/>
      <w:lvlJc w:val="left"/>
      <w:pPr>
        <w:ind w:left="2880" w:hanging="360"/>
      </w:pPr>
    </w:lvl>
    <w:lvl w:ilvl="4" w:tplc="076AB684" w:tentative="1">
      <w:start w:val="1"/>
      <w:numFmt w:val="lowerLetter"/>
      <w:lvlText w:val="%5."/>
      <w:lvlJc w:val="left"/>
      <w:pPr>
        <w:ind w:left="3600" w:hanging="360"/>
      </w:pPr>
    </w:lvl>
    <w:lvl w:ilvl="5" w:tplc="61C65964" w:tentative="1">
      <w:start w:val="1"/>
      <w:numFmt w:val="lowerRoman"/>
      <w:lvlText w:val="%6."/>
      <w:lvlJc w:val="right"/>
      <w:pPr>
        <w:ind w:left="4320" w:hanging="180"/>
      </w:pPr>
    </w:lvl>
    <w:lvl w:ilvl="6" w:tplc="E8AE0D38" w:tentative="1">
      <w:start w:val="1"/>
      <w:numFmt w:val="decimal"/>
      <w:lvlText w:val="%7."/>
      <w:lvlJc w:val="left"/>
      <w:pPr>
        <w:ind w:left="5040" w:hanging="360"/>
      </w:pPr>
    </w:lvl>
    <w:lvl w:ilvl="7" w:tplc="5DDC547E" w:tentative="1">
      <w:start w:val="1"/>
      <w:numFmt w:val="lowerLetter"/>
      <w:lvlText w:val="%8."/>
      <w:lvlJc w:val="left"/>
      <w:pPr>
        <w:ind w:left="5760" w:hanging="360"/>
      </w:pPr>
    </w:lvl>
    <w:lvl w:ilvl="8" w:tplc="D60E6330" w:tentative="1">
      <w:start w:val="1"/>
      <w:numFmt w:val="lowerRoman"/>
      <w:lvlText w:val="%9."/>
      <w:lvlJc w:val="right"/>
      <w:pPr>
        <w:ind w:left="6480" w:hanging="180"/>
      </w:pPr>
    </w:lvl>
  </w:abstractNum>
  <w:abstractNum w:abstractNumId="25" w15:restartNumberingAfterBreak="0">
    <w:nsid w:val="7DFB57D5"/>
    <w:multiLevelType w:val="hybridMultilevel"/>
    <w:tmpl w:val="E1C866BC"/>
    <w:lvl w:ilvl="0" w:tplc="3350114C">
      <w:start w:val="1"/>
      <w:numFmt w:val="lowerLetter"/>
      <w:lvlText w:val="%1)"/>
      <w:lvlJc w:val="left"/>
      <w:pPr>
        <w:ind w:left="587" w:hanging="360"/>
      </w:pPr>
      <w:rPr>
        <w:rFonts w:hint="default"/>
      </w:rPr>
    </w:lvl>
    <w:lvl w:ilvl="1" w:tplc="04050019" w:tentative="1">
      <w:start w:val="1"/>
      <w:numFmt w:val="lowerLetter"/>
      <w:lvlText w:val="%2."/>
      <w:lvlJc w:val="left"/>
      <w:pPr>
        <w:ind w:left="1307" w:hanging="360"/>
      </w:pPr>
    </w:lvl>
    <w:lvl w:ilvl="2" w:tplc="0405001B" w:tentative="1">
      <w:start w:val="1"/>
      <w:numFmt w:val="lowerRoman"/>
      <w:lvlText w:val="%3."/>
      <w:lvlJc w:val="right"/>
      <w:pPr>
        <w:ind w:left="2027" w:hanging="180"/>
      </w:pPr>
    </w:lvl>
    <w:lvl w:ilvl="3" w:tplc="0405000F" w:tentative="1">
      <w:start w:val="1"/>
      <w:numFmt w:val="decimal"/>
      <w:lvlText w:val="%4."/>
      <w:lvlJc w:val="left"/>
      <w:pPr>
        <w:ind w:left="2747" w:hanging="360"/>
      </w:pPr>
    </w:lvl>
    <w:lvl w:ilvl="4" w:tplc="04050019" w:tentative="1">
      <w:start w:val="1"/>
      <w:numFmt w:val="lowerLetter"/>
      <w:lvlText w:val="%5."/>
      <w:lvlJc w:val="left"/>
      <w:pPr>
        <w:ind w:left="3467" w:hanging="360"/>
      </w:pPr>
    </w:lvl>
    <w:lvl w:ilvl="5" w:tplc="0405001B" w:tentative="1">
      <w:start w:val="1"/>
      <w:numFmt w:val="lowerRoman"/>
      <w:lvlText w:val="%6."/>
      <w:lvlJc w:val="right"/>
      <w:pPr>
        <w:ind w:left="4187" w:hanging="180"/>
      </w:pPr>
    </w:lvl>
    <w:lvl w:ilvl="6" w:tplc="0405000F" w:tentative="1">
      <w:start w:val="1"/>
      <w:numFmt w:val="decimal"/>
      <w:lvlText w:val="%7."/>
      <w:lvlJc w:val="left"/>
      <w:pPr>
        <w:ind w:left="4907" w:hanging="360"/>
      </w:pPr>
    </w:lvl>
    <w:lvl w:ilvl="7" w:tplc="04050019" w:tentative="1">
      <w:start w:val="1"/>
      <w:numFmt w:val="lowerLetter"/>
      <w:lvlText w:val="%8."/>
      <w:lvlJc w:val="left"/>
      <w:pPr>
        <w:ind w:left="5627" w:hanging="360"/>
      </w:pPr>
    </w:lvl>
    <w:lvl w:ilvl="8" w:tplc="0405001B" w:tentative="1">
      <w:start w:val="1"/>
      <w:numFmt w:val="lowerRoman"/>
      <w:lvlText w:val="%9."/>
      <w:lvlJc w:val="right"/>
      <w:pPr>
        <w:ind w:left="6347" w:hanging="180"/>
      </w:pPr>
    </w:lvl>
  </w:abstractNum>
  <w:num w:numId="1" w16cid:durableId="748382519">
    <w:abstractNumId w:val="1"/>
  </w:num>
  <w:num w:numId="2" w16cid:durableId="2073843611">
    <w:abstractNumId w:val="19"/>
  </w:num>
  <w:num w:numId="3" w16cid:durableId="120273945">
    <w:abstractNumId w:val="12"/>
  </w:num>
  <w:num w:numId="4" w16cid:durableId="1970739405">
    <w:abstractNumId w:val="12"/>
  </w:num>
  <w:num w:numId="5" w16cid:durableId="951978688">
    <w:abstractNumId w:val="12"/>
  </w:num>
  <w:num w:numId="6" w16cid:durableId="2101753284">
    <w:abstractNumId w:val="0"/>
  </w:num>
  <w:num w:numId="7" w16cid:durableId="1594166593">
    <w:abstractNumId w:val="8"/>
  </w:num>
  <w:num w:numId="8" w16cid:durableId="168106524">
    <w:abstractNumId w:val="2"/>
  </w:num>
  <w:num w:numId="9" w16cid:durableId="1353414140">
    <w:abstractNumId w:val="2"/>
  </w:num>
  <w:num w:numId="10" w16cid:durableId="483161238">
    <w:abstractNumId w:val="7"/>
  </w:num>
  <w:num w:numId="11" w16cid:durableId="371731067">
    <w:abstractNumId w:val="24"/>
  </w:num>
  <w:num w:numId="12" w16cid:durableId="1369840077">
    <w:abstractNumId w:val="3"/>
  </w:num>
  <w:num w:numId="13" w16cid:durableId="589582996">
    <w:abstractNumId w:val="14"/>
  </w:num>
  <w:num w:numId="14" w16cid:durableId="1886716054">
    <w:abstractNumId w:val="20"/>
  </w:num>
  <w:num w:numId="15" w16cid:durableId="111945164">
    <w:abstractNumId w:val="23"/>
  </w:num>
  <w:num w:numId="16" w16cid:durableId="467671232">
    <w:abstractNumId w:val="4"/>
  </w:num>
  <w:num w:numId="17" w16cid:durableId="1772123444">
    <w:abstractNumId w:val="6"/>
  </w:num>
  <w:num w:numId="18" w16cid:durableId="1924753407">
    <w:abstractNumId w:val="22"/>
  </w:num>
  <w:num w:numId="19" w16cid:durableId="618533703">
    <w:abstractNumId w:val="5"/>
  </w:num>
  <w:num w:numId="20" w16cid:durableId="282350118">
    <w:abstractNumId w:val="12"/>
  </w:num>
  <w:num w:numId="21" w16cid:durableId="1891922232">
    <w:abstractNumId w:val="17"/>
  </w:num>
  <w:num w:numId="22" w16cid:durableId="1138913331">
    <w:abstractNumId w:val="21"/>
  </w:num>
  <w:num w:numId="23" w16cid:durableId="964121380">
    <w:abstractNumId w:val="18"/>
  </w:num>
  <w:num w:numId="24" w16cid:durableId="1509445169">
    <w:abstractNumId w:val="15"/>
  </w:num>
  <w:num w:numId="25" w16cid:durableId="1276522666">
    <w:abstractNumId w:val="12"/>
  </w:num>
  <w:num w:numId="26" w16cid:durableId="198512109">
    <w:abstractNumId w:val="10"/>
  </w:num>
  <w:num w:numId="27" w16cid:durableId="1388723131">
    <w:abstractNumId w:val="11"/>
  </w:num>
  <w:num w:numId="28" w16cid:durableId="1889340238">
    <w:abstractNumId w:val="16"/>
  </w:num>
  <w:num w:numId="29" w16cid:durableId="414013973">
    <w:abstractNumId w:val="9"/>
  </w:num>
  <w:num w:numId="30" w16cid:durableId="877546497">
    <w:abstractNumId w:val="25"/>
  </w:num>
  <w:num w:numId="31" w16cid:durableId="13165684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39"/>
    <w:rsid w:val="00001852"/>
    <w:rsid w:val="00002E91"/>
    <w:rsid w:val="00003285"/>
    <w:rsid w:val="00024FD6"/>
    <w:rsid w:val="00025513"/>
    <w:rsid w:val="00035499"/>
    <w:rsid w:val="00042D34"/>
    <w:rsid w:val="00042E40"/>
    <w:rsid w:val="00061DB7"/>
    <w:rsid w:val="00077FE1"/>
    <w:rsid w:val="000A30CB"/>
    <w:rsid w:val="000A7BCC"/>
    <w:rsid w:val="000B13F1"/>
    <w:rsid w:val="000C23EC"/>
    <w:rsid w:val="000C2CAF"/>
    <w:rsid w:val="000C3539"/>
    <w:rsid w:val="000C6AA8"/>
    <w:rsid w:val="000D1B4D"/>
    <w:rsid w:val="000D7AE8"/>
    <w:rsid w:val="000E365F"/>
    <w:rsid w:val="000F2768"/>
    <w:rsid w:val="000F513F"/>
    <w:rsid w:val="000F6949"/>
    <w:rsid w:val="00100FAA"/>
    <w:rsid w:val="00107B6A"/>
    <w:rsid w:val="00112BF6"/>
    <w:rsid w:val="001208AD"/>
    <w:rsid w:val="0012226D"/>
    <w:rsid w:val="00123A76"/>
    <w:rsid w:val="00132269"/>
    <w:rsid w:val="0015110A"/>
    <w:rsid w:val="00164E38"/>
    <w:rsid w:val="0017041B"/>
    <w:rsid w:val="00180696"/>
    <w:rsid w:val="00182262"/>
    <w:rsid w:val="00196615"/>
    <w:rsid w:val="001A40ED"/>
    <w:rsid w:val="001A6F0E"/>
    <w:rsid w:val="001B7AFC"/>
    <w:rsid w:val="001C237D"/>
    <w:rsid w:val="001D2309"/>
    <w:rsid w:val="001D39DB"/>
    <w:rsid w:val="001F6B65"/>
    <w:rsid w:val="00201B15"/>
    <w:rsid w:val="002031B5"/>
    <w:rsid w:val="00215F99"/>
    <w:rsid w:val="00226667"/>
    <w:rsid w:val="00233AE7"/>
    <w:rsid w:val="00234B06"/>
    <w:rsid w:val="00256F10"/>
    <w:rsid w:val="00265E3F"/>
    <w:rsid w:val="00275FCD"/>
    <w:rsid w:val="002776E5"/>
    <w:rsid w:val="00283382"/>
    <w:rsid w:val="002936A6"/>
    <w:rsid w:val="00294546"/>
    <w:rsid w:val="002A4316"/>
    <w:rsid w:val="002C15F3"/>
    <w:rsid w:val="002C39FE"/>
    <w:rsid w:val="002D58DD"/>
    <w:rsid w:val="00317016"/>
    <w:rsid w:val="003215C5"/>
    <w:rsid w:val="00330CAF"/>
    <w:rsid w:val="00351FB6"/>
    <w:rsid w:val="00352F89"/>
    <w:rsid w:val="00377C56"/>
    <w:rsid w:val="00393829"/>
    <w:rsid w:val="003A623B"/>
    <w:rsid w:val="003A73E4"/>
    <w:rsid w:val="003B17E5"/>
    <w:rsid w:val="003C368E"/>
    <w:rsid w:val="003D1592"/>
    <w:rsid w:val="003D2B22"/>
    <w:rsid w:val="003D4888"/>
    <w:rsid w:val="003E1898"/>
    <w:rsid w:val="003E35C5"/>
    <w:rsid w:val="003E3E23"/>
    <w:rsid w:val="003E6317"/>
    <w:rsid w:val="003F5E50"/>
    <w:rsid w:val="00400907"/>
    <w:rsid w:val="00410802"/>
    <w:rsid w:val="00431281"/>
    <w:rsid w:val="004340BD"/>
    <w:rsid w:val="00437C9D"/>
    <w:rsid w:val="0044092B"/>
    <w:rsid w:val="004474A5"/>
    <w:rsid w:val="00450AC2"/>
    <w:rsid w:val="00451B4C"/>
    <w:rsid w:val="00457EC7"/>
    <w:rsid w:val="00484E46"/>
    <w:rsid w:val="00486456"/>
    <w:rsid w:val="00490085"/>
    <w:rsid w:val="00497D94"/>
    <w:rsid w:val="004A5503"/>
    <w:rsid w:val="004C306B"/>
    <w:rsid w:val="004C3143"/>
    <w:rsid w:val="004D23A1"/>
    <w:rsid w:val="004D45AA"/>
    <w:rsid w:val="004E7E22"/>
    <w:rsid w:val="00502C50"/>
    <w:rsid w:val="005040C6"/>
    <w:rsid w:val="00525537"/>
    <w:rsid w:val="00531461"/>
    <w:rsid w:val="005316FB"/>
    <w:rsid w:val="005349D7"/>
    <w:rsid w:val="00534DD7"/>
    <w:rsid w:val="00536DF6"/>
    <w:rsid w:val="005461DA"/>
    <w:rsid w:val="005510EA"/>
    <w:rsid w:val="00562240"/>
    <w:rsid w:val="005735D1"/>
    <w:rsid w:val="0057383E"/>
    <w:rsid w:val="0057782E"/>
    <w:rsid w:val="00582700"/>
    <w:rsid w:val="00584101"/>
    <w:rsid w:val="0059611D"/>
    <w:rsid w:val="005B154A"/>
    <w:rsid w:val="005B61A6"/>
    <w:rsid w:val="005D487E"/>
    <w:rsid w:val="005D4CD4"/>
    <w:rsid w:val="005D6F7E"/>
    <w:rsid w:val="005E554C"/>
    <w:rsid w:val="005F6E93"/>
    <w:rsid w:val="005F74B3"/>
    <w:rsid w:val="0060172E"/>
    <w:rsid w:val="00610412"/>
    <w:rsid w:val="006129B7"/>
    <w:rsid w:val="00616265"/>
    <w:rsid w:val="006238D5"/>
    <w:rsid w:val="00634BF8"/>
    <w:rsid w:val="00677F3D"/>
    <w:rsid w:val="00680E85"/>
    <w:rsid w:val="0068344A"/>
    <w:rsid w:val="006A1513"/>
    <w:rsid w:val="006B399C"/>
    <w:rsid w:val="006B3A44"/>
    <w:rsid w:val="006D7BCF"/>
    <w:rsid w:val="006E55E7"/>
    <w:rsid w:val="00700223"/>
    <w:rsid w:val="007065C6"/>
    <w:rsid w:val="00710026"/>
    <w:rsid w:val="00716DF9"/>
    <w:rsid w:val="00731931"/>
    <w:rsid w:val="007371EB"/>
    <w:rsid w:val="007427D7"/>
    <w:rsid w:val="007428B0"/>
    <w:rsid w:val="00754159"/>
    <w:rsid w:val="00757F04"/>
    <w:rsid w:val="00760C73"/>
    <w:rsid w:val="00761D1D"/>
    <w:rsid w:val="00767429"/>
    <w:rsid w:val="007804DF"/>
    <w:rsid w:val="00780B9C"/>
    <w:rsid w:val="0078450F"/>
    <w:rsid w:val="007A3285"/>
    <w:rsid w:val="007A5B0F"/>
    <w:rsid w:val="007B084C"/>
    <w:rsid w:val="007B49E9"/>
    <w:rsid w:val="007B61B8"/>
    <w:rsid w:val="007C09E0"/>
    <w:rsid w:val="007C1A7A"/>
    <w:rsid w:val="007D0D2F"/>
    <w:rsid w:val="007D4C11"/>
    <w:rsid w:val="007E1539"/>
    <w:rsid w:val="00805A6B"/>
    <w:rsid w:val="008142CA"/>
    <w:rsid w:val="008210FA"/>
    <w:rsid w:val="008346C8"/>
    <w:rsid w:val="0084136A"/>
    <w:rsid w:val="008524B9"/>
    <w:rsid w:val="00855802"/>
    <w:rsid w:val="0085758F"/>
    <w:rsid w:val="00857D66"/>
    <w:rsid w:val="008669F0"/>
    <w:rsid w:val="00872F48"/>
    <w:rsid w:val="0087301D"/>
    <w:rsid w:val="00890DCD"/>
    <w:rsid w:val="008C2C30"/>
    <w:rsid w:val="008F57E7"/>
    <w:rsid w:val="008F61AF"/>
    <w:rsid w:val="008F79D1"/>
    <w:rsid w:val="00900547"/>
    <w:rsid w:val="00911876"/>
    <w:rsid w:val="009621AC"/>
    <w:rsid w:val="00967D6C"/>
    <w:rsid w:val="00994F80"/>
    <w:rsid w:val="009C617F"/>
    <w:rsid w:val="00A12A18"/>
    <w:rsid w:val="00A17610"/>
    <w:rsid w:val="00A21539"/>
    <w:rsid w:val="00A3678A"/>
    <w:rsid w:val="00A43AD8"/>
    <w:rsid w:val="00A473EA"/>
    <w:rsid w:val="00A74562"/>
    <w:rsid w:val="00A74E41"/>
    <w:rsid w:val="00A82402"/>
    <w:rsid w:val="00A943C2"/>
    <w:rsid w:val="00A95C7A"/>
    <w:rsid w:val="00A97970"/>
    <w:rsid w:val="00AB09E0"/>
    <w:rsid w:val="00AD2084"/>
    <w:rsid w:val="00AD717B"/>
    <w:rsid w:val="00AD7D3D"/>
    <w:rsid w:val="00B05516"/>
    <w:rsid w:val="00B23C45"/>
    <w:rsid w:val="00B257A5"/>
    <w:rsid w:val="00B33B4C"/>
    <w:rsid w:val="00B508AE"/>
    <w:rsid w:val="00B538D3"/>
    <w:rsid w:val="00B5520E"/>
    <w:rsid w:val="00B5607F"/>
    <w:rsid w:val="00B600E3"/>
    <w:rsid w:val="00B615D4"/>
    <w:rsid w:val="00B630C3"/>
    <w:rsid w:val="00B6336B"/>
    <w:rsid w:val="00B72B5A"/>
    <w:rsid w:val="00B866DE"/>
    <w:rsid w:val="00B90A7C"/>
    <w:rsid w:val="00BA4AB7"/>
    <w:rsid w:val="00BA6016"/>
    <w:rsid w:val="00BC3F1E"/>
    <w:rsid w:val="00BC5723"/>
    <w:rsid w:val="00BE1DAD"/>
    <w:rsid w:val="00C21D18"/>
    <w:rsid w:val="00C405DF"/>
    <w:rsid w:val="00C416F6"/>
    <w:rsid w:val="00C434B8"/>
    <w:rsid w:val="00C462F2"/>
    <w:rsid w:val="00C621DD"/>
    <w:rsid w:val="00C72D36"/>
    <w:rsid w:val="00C75758"/>
    <w:rsid w:val="00CB10CF"/>
    <w:rsid w:val="00CB5B0C"/>
    <w:rsid w:val="00CD2CD6"/>
    <w:rsid w:val="00CF6F05"/>
    <w:rsid w:val="00D02072"/>
    <w:rsid w:val="00D065AB"/>
    <w:rsid w:val="00D36927"/>
    <w:rsid w:val="00D57B77"/>
    <w:rsid w:val="00D6713B"/>
    <w:rsid w:val="00D7148D"/>
    <w:rsid w:val="00D71CDE"/>
    <w:rsid w:val="00D72E7B"/>
    <w:rsid w:val="00D8582D"/>
    <w:rsid w:val="00D90EC5"/>
    <w:rsid w:val="00D92ACB"/>
    <w:rsid w:val="00D97ADE"/>
    <w:rsid w:val="00DA226D"/>
    <w:rsid w:val="00DA5CB0"/>
    <w:rsid w:val="00DA5F4D"/>
    <w:rsid w:val="00DA61E4"/>
    <w:rsid w:val="00DB45E2"/>
    <w:rsid w:val="00DB5910"/>
    <w:rsid w:val="00DC5E78"/>
    <w:rsid w:val="00DD609B"/>
    <w:rsid w:val="00DE1C50"/>
    <w:rsid w:val="00DE6925"/>
    <w:rsid w:val="00DF0C2C"/>
    <w:rsid w:val="00E05E30"/>
    <w:rsid w:val="00E13F92"/>
    <w:rsid w:val="00E1746F"/>
    <w:rsid w:val="00E22EAF"/>
    <w:rsid w:val="00E23F4F"/>
    <w:rsid w:val="00E25E49"/>
    <w:rsid w:val="00E5291A"/>
    <w:rsid w:val="00E531E2"/>
    <w:rsid w:val="00E5601A"/>
    <w:rsid w:val="00E60708"/>
    <w:rsid w:val="00E7324E"/>
    <w:rsid w:val="00E847A3"/>
    <w:rsid w:val="00E8769A"/>
    <w:rsid w:val="00E923AE"/>
    <w:rsid w:val="00E95F31"/>
    <w:rsid w:val="00EA1639"/>
    <w:rsid w:val="00EB5DF0"/>
    <w:rsid w:val="00EB7AF0"/>
    <w:rsid w:val="00EC52C0"/>
    <w:rsid w:val="00ED42F3"/>
    <w:rsid w:val="00ED64DA"/>
    <w:rsid w:val="00ED6ED6"/>
    <w:rsid w:val="00F0758F"/>
    <w:rsid w:val="00F200B0"/>
    <w:rsid w:val="00F25E1C"/>
    <w:rsid w:val="00F25EF0"/>
    <w:rsid w:val="00F41E3A"/>
    <w:rsid w:val="00F46B2F"/>
    <w:rsid w:val="00F57213"/>
    <w:rsid w:val="00F60FCA"/>
    <w:rsid w:val="00F67173"/>
    <w:rsid w:val="00F715CD"/>
    <w:rsid w:val="00F771D4"/>
    <w:rsid w:val="00F8042C"/>
    <w:rsid w:val="00F845C2"/>
    <w:rsid w:val="00F92E4B"/>
    <w:rsid w:val="00F94B58"/>
    <w:rsid w:val="00F95DD0"/>
    <w:rsid w:val="00FB3E64"/>
    <w:rsid w:val="00FD2B40"/>
    <w:rsid w:val="00FD510C"/>
    <w:rsid w:val="00FE31A9"/>
    <w:rsid w:val="00FE4B25"/>
    <w:rsid w:val="00FF25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490B676"/>
  <w15:docId w15:val="{EEE6132A-E3C8-4190-8F04-7DB4C4A3F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524B9"/>
    <w:pPr>
      <w:jc w:val="both"/>
    </w:pPr>
    <w:rPr>
      <w:rFonts w:ascii="Arial" w:hAnsi="Arial"/>
      <w:sz w:val="22"/>
      <w:szCs w:val="24"/>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ormln"/>
    <w:qFormat/>
    <w:rsid w:val="008524B9"/>
    <w:pPr>
      <w:widowControl w:val="0"/>
      <w:spacing w:after="220"/>
      <w:jc w:val="left"/>
      <w:outlineLvl w:val="0"/>
    </w:pPr>
    <w:rPr>
      <w:rFonts w:cs="Arial"/>
      <w:b/>
      <w:noProof/>
      <w:color w:val="283164"/>
      <w:sz w:val="32"/>
      <w:szCs w:val="20"/>
    </w:rPr>
  </w:style>
  <w:style w:type="paragraph" w:styleId="Nadpis2">
    <w:name w:val="heading 2"/>
    <w:basedOn w:val="Normln"/>
    <w:next w:val="Normln"/>
    <w:qFormat/>
    <w:rsid w:val="00B257A5"/>
    <w:pPr>
      <w:widowControl w:val="0"/>
      <w:numPr>
        <w:ilvl w:val="1"/>
        <w:numId w:val="5"/>
      </w:numPr>
      <w:spacing w:before="220" w:after="220"/>
      <w:outlineLvl w:val="1"/>
    </w:pPr>
    <w:rPr>
      <w:b/>
      <w:color w:val="283164"/>
      <w:sz w:val="24"/>
      <w:szCs w:val="20"/>
    </w:rPr>
  </w:style>
  <w:style w:type="paragraph" w:styleId="Nadpis3">
    <w:name w:val="heading 3"/>
    <w:aliases w:val="Podkapitola2,Záhlaví 3,V_Head3,V_Head31,V_Head32,Nadpis 3 Char1 Char,Nadpis 3 Char Char Char,Podpodkapitola,adpis 3"/>
    <w:basedOn w:val="Normln"/>
    <w:next w:val="Normln"/>
    <w:qFormat/>
    <w:rsid w:val="008524B9"/>
    <w:pPr>
      <w:keepNext/>
      <w:numPr>
        <w:ilvl w:val="2"/>
        <w:numId w:val="5"/>
      </w:numPr>
      <w:spacing w:before="220" w:after="220"/>
      <w:outlineLvl w:val="2"/>
    </w:pPr>
    <w:rPr>
      <w:b/>
      <w:color w:val="283164"/>
      <w:szCs w:val="22"/>
    </w:rPr>
  </w:style>
  <w:style w:type="paragraph" w:styleId="Nadpis4">
    <w:name w:val="heading 4"/>
    <w:basedOn w:val="Normln"/>
    <w:next w:val="Normln"/>
    <w:link w:val="Nadpis4Char"/>
    <w:qFormat/>
    <w:rsid w:val="005D4CD4"/>
    <w:pPr>
      <w:keepNext/>
      <w:tabs>
        <w:tab w:val="num" w:pos="1080"/>
      </w:tabs>
      <w:spacing w:before="240" w:after="240"/>
      <w:jc w:val="left"/>
      <w:outlineLvl w:val="3"/>
    </w:pPr>
    <w:rPr>
      <w:rFonts w:ascii="NimbusSanNovTEE" w:hAnsi="NimbusSanNovTEE"/>
      <w:b/>
      <w:szCs w:val="20"/>
      <w:lang w:val="en-GB"/>
    </w:rPr>
  </w:style>
  <w:style w:type="paragraph" w:styleId="Nadpis5">
    <w:name w:val="heading 5"/>
    <w:basedOn w:val="Normln"/>
    <w:next w:val="Normln"/>
    <w:link w:val="Nadpis5Char"/>
    <w:qFormat/>
    <w:rsid w:val="005D4CD4"/>
    <w:pPr>
      <w:tabs>
        <w:tab w:val="num" w:pos="0"/>
      </w:tabs>
      <w:spacing w:before="240" w:after="60"/>
      <w:jc w:val="left"/>
      <w:outlineLvl w:val="4"/>
    </w:pPr>
    <w:rPr>
      <w:szCs w:val="20"/>
    </w:rPr>
  </w:style>
  <w:style w:type="paragraph" w:styleId="Nadpis6">
    <w:name w:val="heading 6"/>
    <w:basedOn w:val="Normln"/>
    <w:next w:val="Normln"/>
    <w:link w:val="Nadpis6Char"/>
    <w:qFormat/>
    <w:rsid w:val="005D4CD4"/>
    <w:pPr>
      <w:tabs>
        <w:tab w:val="num" w:pos="0"/>
      </w:tabs>
      <w:spacing w:before="240" w:after="60"/>
      <w:jc w:val="left"/>
      <w:outlineLvl w:val="5"/>
    </w:pPr>
    <w:rPr>
      <w:i/>
      <w:szCs w:val="20"/>
    </w:rPr>
  </w:style>
  <w:style w:type="paragraph" w:styleId="Nadpis7">
    <w:name w:val="heading 7"/>
    <w:basedOn w:val="Normln"/>
    <w:next w:val="Normln"/>
    <w:link w:val="Nadpis7Char"/>
    <w:qFormat/>
    <w:rsid w:val="005D4CD4"/>
    <w:pPr>
      <w:tabs>
        <w:tab w:val="num" w:pos="0"/>
      </w:tabs>
      <w:spacing w:before="240" w:after="60"/>
      <w:jc w:val="left"/>
      <w:outlineLvl w:val="6"/>
    </w:pPr>
    <w:rPr>
      <w:sz w:val="20"/>
      <w:szCs w:val="20"/>
    </w:rPr>
  </w:style>
  <w:style w:type="paragraph" w:styleId="Nadpis8">
    <w:name w:val="heading 8"/>
    <w:basedOn w:val="Normln"/>
    <w:next w:val="Normln"/>
    <w:link w:val="Nadpis8Char"/>
    <w:qFormat/>
    <w:rsid w:val="005D4CD4"/>
    <w:pPr>
      <w:tabs>
        <w:tab w:val="num" w:pos="0"/>
      </w:tabs>
      <w:spacing w:before="240" w:after="60"/>
      <w:jc w:val="left"/>
      <w:outlineLvl w:val="7"/>
    </w:pPr>
    <w:rPr>
      <w:i/>
      <w:sz w:val="20"/>
      <w:szCs w:val="20"/>
    </w:rPr>
  </w:style>
  <w:style w:type="paragraph" w:styleId="Nadpis9">
    <w:name w:val="heading 9"/>
    <w:basedOn w:val="Normln"/>
    <w:next w:val="Normln"/>
    <w:link w:val="Nadpis9Char"/>
    <w:qFormat/>
    <w:rsid w:val="005D4CD4"/>
    <w:pPr>
      <w:tabs>
        <w:tab w:val="num" w:pos="0"/>
      </w:tabs>
      <w:spacing w:before="240" w:after="60"/>
      <w:jc w:val="left"/>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lovanseznam">
    <w:name w:val="List Number"/>
    <w:basedOn w:val="Normln"/>
    <w:rsid w:val="008524B9"/>
    <w:pPr>
      <w:numPr>
        <w:numId w:val="2"/>
      </w:numPr>
    </w:pPr>
  </w:style>
  <w:style w:type="paragraph" w:styleId="Nzev">
    <w:name w:val="Title"/>
    <w:basedOn w:val="Normln"/>
    <w:next w:val="Normln"/>
    <w:qFormat/>
    <w:rsid w:val="008524B9"/>
    <w:pPr>
      <w:spacing w:before="120"/>
      <w:jc w:val="center"/>
    </w:pPr>
    <w:rPr>
      <w:b/>
      <w:color w:val="283164"/>
      <w:sz w:val="32"/>
      <w:szCs w:val="28"/>
    </w:rPr>
  </w:style>
  <w:style w:type="paragraph" w:styleId="slovanseznam2">
    <w:name w:val="List Number 2"/>
    <w:basedOn w:val="Normln"/>
    <w:rsid w:val="008524B9"/>
    <w:pPr>
      <w:numPr>
        <w:ilvl w:val="1"/>
        <w:numId w:val="7"/>
      </w:numPr>
    </w:pPr>
  </w:style>
  <w:style w:type="paragraph" w:styleId="Seznamsodrkami">
    <w:name w:val="List Bullet"/>
    <w:basedOn w:val="Normln"/>
    <w:rsid w:val="008524B9"/>
    <w:pPr>
      <w:numPr>
        <w:numId w:val="9"/>
      </w:numPr>
    </w:pPr>
  </w:style>
  <w:style w:type="table" w:styleId="Mkatabulky">
    <w:name w:val="Table Grid"/>
    <w:basedOn w:val="Normlntabulka"/>
    <w:rsid w:val="00A215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21539"/>
    <w:pPr>
      <w:ind w:left="720"/>
      <w:contextualSpacing/>
    </w:pPr>
  </w:style>
  <w:style w:type="paragraph" w:styleId="Zhlav">
    <w:name w:val="header"/>
    <w:basedOn w:val="Normln"/>
    <w:link w:val="ZhlavChar"/>
    <w:rsid w:val="00226667"/>
    <w:pPr>
      <w:tabs>
        <w:tab w:val="center" w:pos="4536"/>
        <w:tab w:val="right" w:pos="9072"/>
      </w:tabs>
    </w:pPr>
  </w:style>
  <w:style w:type="character" w:customStyle="1" w:styleId="ZhlavChar">
    <w:name w:val="Záhlaví Char"/>
    <w:basedOn w:val="Standardnpsmoodstavce"/>
    <w:link w:val="Zhlav"/>
    <w:rsid w:val="00226667"/>
    <w:rPr>
      <w:rFonts w:ascii="Arial" w:hAnsi="Arial"/>
      <w:sz w:val="22"/>
      <w:szCs w:val="24"/>
    </w:rPr>
  </w:style>
  <w:style w:type="paragraph" w:styleId="Zpat">
    <w:name w:val="footer"/>
    <w:basedOn w:val="Normln"/>
    <w:link w:val="ZpatChar"/>
    <w:rsid w:val="00226667"/>
    <w:pPr>
      <w:tabs>
        <w:tab w:val="center" w:pos="4536"/>
        <w:tab w:val="right" w:pos="9072"/>
      </w:tabs>
    </w:pPr>
  </w:style>
  <w:style w:type="character" w:customStyle="1" w:styleId="ZpatChar">
    <w:name w:val="Zápatí Char"/>
    <w:basedOn w:val="Standardnpsmoodstavce"/>
    <w:link w:val="Zpat"/>
    <w:rsid w:val="00226667"/>
    <w:rPr>
      <w:rFonts w:ascii="Arial" w:hAnsi="Arial"/>
      <w:sz w:val="22"/>
      <w:szCs w:val="24"/>
    </w:rPr>
  </w:style>
  <w:style w:type="character" w:customStyle="1" w:styleId="Nadpis4Char">
    <w:name w:val="Nadpis 4 Char"/>
    <w:basedOn w:val="Standardnpsmoodstavce"/>
    <w:link w:val="Nadpis4"/>
    <w:rsid w:val="005D4CD4"/>
    <w:rPr>
      <w:rFonts w:ascii="NimbusSanNovTEE" w:hAnsi="NimbusSanNovTEE"/>
      <w:b/>
      <w:sz w:val="22"/>
      <w:lang w:val="en-GB"/>
    </w:rPr>
  </w:style>
  <w:style w:type="character" w:customStyle="1" w:styleId="Nadpis5Char">
    <w:name w:val="Nadpis 5 Char"/>
    <w:basedOn w:val="Standardnpsmoodstavce"/>
    <w:link w:val="Nadpis5"/>
    <w:rsid w:val="005D4CD4"/>
    <w:rPr>
      <w:rFonts w:ascii="Arial" w:hAnsi="Arial"/>
      <w:sz w:val="22"/>
    </w:rPr>
  </w:style>
  <w:style w:type="character" w:customStyle="1" w:styleId="Nadpis6Char">
    <w:name w:val="Nadpis 6 Char"/>
    <w:basedOn w:val="Standardnpsmoodstavce"/>
    <w:link w:val="Nadpis6"/>
    <w:rsid w:val="005D4CD4"/>
    <w:rPr>
      <w:rFonts w:ascii="Arial" w:hAnsi="Arial"/>
      <w:i/>
      <w:sz w:val="22"/>
    </w:rPr>
  </w:style>
  <w:style w:type="character" w:customStyle="1" w:styleId="Nadpis7Char">
    <w:name w:val="Nadpis 7 Char"/>
    <w:basedOn w:val="Standardnpsmoodstavce"/>
    <w:link w:val="Nadpis7"/>
    <w:rsid w:val="005D4CD4"/>
    <w:rPr>
      <w:rFonts w:ascii="Arial" w:hAnsi="Arial"/>
    </w:rPr>
  </w:style>
  <w:style w:type="character" w:customStyle="1" w:styleId="Nadpis8Char">
    <w:name w:val="Nadpis 8 Char"/>
    <w:basedOn w:val="Standardnpsmoodstavce"/>
    <w:link w:val="Nadpis8"/>
    <w:rsid w:val="005D4CD4"/>
    <w:rPr>
      <w:rFonts w:ascii="Arial" w:hAnsi="Arial"/>
      <w:i/>
    </w:rPr>
  </w:style>
  <w:style w:type="character" w:customStyle="1" w:styleId="Nadpis9Char">
    <w:name w:val="Nadpis 9 Char"/>
    <w:basedOn w:val="Standardnpsmoodstavce"/>
    <w:link w:val="Nadpis9"/>
    <w:rsid w:val="005D4CD4"/>
    <w:rPr>
      <w:rFonts w:ascii="Arial" w:hAnsi="Arial"/>
      <w:b/>
      <w:i/>
      <w:sz w:val="18"/>
    </w:rPr>
  </w:style>
  <w:style w:type="paragraph" w:styleId="Zkladntext">
    <w:name w:val="Body Text"/>
    <w:aliases w:val="Standard paragraph"/>
    <w:basedOn w:val="Normln"/>
    <w:link w:val="ZkladntextChar"/>
    <w:rsid w:val="00450AC2"/>
    <w:pPr>
      <w:jc w:val="center"/>
    </w:pPr>
    <w:rPr>
      <w:rFonts w:ascii="Times New Roman" w:hAnsi="Times New Roman"/>
      <w:b/>
      <w:i/>
      <w:sz w:val="36"/>
      <w:szCs w:val="20"/>
      <w:u w:val="single"/>
    </w:rPr>
  </w:style>
  <w:style w:type="character" w:customStyle="1" w:styleId="ZkladntextChar">
    <w:name w:val="Základní text Char"/>
    <w:aliases w:val="Standard paragraph Char"/>
    <w:basedOn w:val="Standardnpsmoodstavce"/>
    <w:link w:val="Zkladntext"/>
    <w:rsid w:val="00450AC2"/>
    <w:rPr>
      <w:b/>
      <w:i/>
      <w:sz w:val="36"/>
      <w:u w:val="single"/>
    </w:rPr>
  </w:style>
  <w:style w:type="paragraph" w:styleId="Zkladntext3">
    <w:name w:val="Body Text 3"/>
    <w:basedOn w:val="Normln"/>
    <w:link w:val="Zkladntext3Char"/>
    <w:rsid w:val="00450AC2"/>
    <w:pPr>
      <w:spacing w:after="120"/>
    </w:pPr>
    <w:rPr>
      <w:sz w:val="16"/>
      <w:szCs w:val="16"/>
    </w:rPr>
  </w:style>
  <w:style w:type="character" w:customStyle="1" w:styleId="Zkladntext3Char">
    <w:name w:val="Základní text 3 Char"/>
    <w:basedOn w:val="Standardnpsmoodstavce"/>
    <w:link w:val="Zkladntext3"/>
    <w:rsid w:val="00450AC2"/>
    <w:rPr>
      <w:rFonts w:ascii="Arial" w:hAnsi="Arial"/>
      <w:sz w:val="16"/>
      <w:szCs w:val="16"/>
    </w:rPr>
  </w:style>
  <w:style w:type="paragraph" w:customStyle="1" w:styleId="Text">
    <w:name w:val="Text"/>
    <w:basedOn w:val="Normln"/>
    <w:rsid w:val="00457EC7"/>
    <w:pPr>
      <w:spacing w:after="240"/>
      <w:jc w:val="left"/>
    </w:pPr>
    <w:rPr>
      <w:rFonts w:ascii="Times New Roman" w:hAnsi="Times New Roman"/>
      <w:sz w:val="24"/>
      <w:szCs w:val="20"/>
      <w:lang w:eastAsia="en-US"/>
    </w:rPr>
  </w:style>
  <w:style w:type="character" w:styleId="Odkaznakoment">
    <w:name w:val="annotation reference"/>
    <w:basedOn w:val="Standardnpsmoodstavce"/>
    <w:semiHidden/>
    <w:unhideWhenUsed/>
    <w:rsid w:val="006129B7"/>
    <w:rPr>
      <w:sz w:val="16"/>
      <w:szCs w:val="16"/>
    </w:rPr>
  </w:style>
  <w:style w:type="paragraph" w:styleId="Textkomente">
    <w:name w:val="annotation text"/>
    <w:basedOn w:val="Normln"/>
    <w:link w:val="TextkomenteChar"/>
    <w:semiHidden/>
    <w:unhideWhenUsed/>
    <w:rsid w:val="006129B7"/>
    <w:rPr>
      <w:sz w:val="20"/>
      <w:szCs w:val="20"/>
    </w:rPr>
  </w:style>
  <w:style w:type="character" w:customStyle="1" w:styleId="TextkomenteChar">
    <w:name w:val="Text komentáře Char"/>
    <w:basedOn w:val="Standardnpsmoodstavce"/>
    <w:link w:val="Textkomente"/>
    <w:semiHidden/>
    <w:rsid w:val="006129B7"/>
    <w:rPr>
      <w:rFonts w:ascii="Arial" w:hAnsi="Arial"/>
    </w:rPr>
  </w:style>
  <w:style w:type="paragraph" w:styleId="Pedmtkomente">
    <w:name w:val="annotation subject"/>
    <w:basedOn w:val="Textkomente"/>
    <w:next w:val="Textkomente"/>
    <w:link w:val="PedmtkomenteChar"/>
    <w:semiHidden/>
    <w:unhideWhenUsed/>
    <w:rsid w:val="006129B7"/>
    <w:rPr>
      <w:b/>
      <w:bCs/>
    </w:rPr>
  </w:style>
  <w:style w:type="character" w:customStyle="1" w:styleId="PedmtkomenteChar">
    <w:name w:val="Předmět komentáře Char"/>
    <w:basedOn w:val="TextkomenteChar"/>
    <w:link w:val="Pedmtkomente"/>
    <w:semiHidden/>
    <w:rsid w:val="006129B7"/>
    <w:rPr>
      <w:rFonts w:ascii="Arial" w:hAnsi="Arial"/>
      <w:b/>
      <w:bCs/>
    </w:rPr>
  </w:style>
  <w:style w:type="paragraph" w:styleId="Textbubliny">
    <w:name w:val="Balloon Text"/>
    <w:basedOn w:val="Normln"/>
    <w:link w:val="TextbublinyChar"/>
    <w:semiHidden/>
    <w:unhideWhenUsed/>
    <w:rsid w:val="006129B7"/>
    <w:rPr>
      <w:rFonts w:ascii="Segoe UI" w:hAnsi="Segoe UI" w:cs="Segoe UI"/>
      <w:sz w:val="18"/>
      <w:szCs w:val="18"/>
    </w:rPr>
  </w:style>
  <w:style w:type="character" w:customStyle="1" w:styleId="TextbublinyChar">
    <w:name w:val="Text bubliny Char"/>
    <w:basedOn w:val="Standardnpsmoodstavce"/>
    <w:link w:val="Textbubliny"/>
    <w:semiHidden/>
    <w:rsid w:val="006129B7"/>
    <w:rPr>
      <w:rFonts w:ascii="Segoe UI" w:hAnsi="Segoe UI" w:cs="Segoe UI"/>
      <w:sz w:val="18"/>
      <w:szCs w:val="18"/>
    </w:rPr>
  </w:style>
  <w:style w:type="paragraph" w:styleId="Revize">
    <w:name w:val="Revision"/>
    <w:hidden/>
    <w:uiPriority w:val="99"/>
    <w:semiHidden/>
    <w:rsid w:val="005D487E"/>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06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84A66-AF07-49BF-B522-7240BE2EE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15</Pages>
  <Words>5197</Words>
  <Characters>30664</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Dušan Urbánek</dc:creator>
  <cp:keywords/>
  <dc:description/>
  <cp:lastModifiedBy>Vopalkova Petra</cp:lastModifiedBy>
  <cp:revision>42</cp:revision>
  <cp:lastPrinted>2012-11-01T06:01:00Z</cp:lastPrinted>
  <dcterms:created xsi:type="dcterms:W3CDTF">2018-10-17T10:40:00Z</dcterms:created>
  <dcterms:modified xsi:type="dcterms:W3CDTF">2026-01-12T16:18:00Z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d283cd4-40d8-4b4e-b666-5881e4d226e3_Enabled">
    <vt:lpwstr>true</vt:lpwstr>
  </property>
  <property fmtid="{D5CDD505-2E9C-101B-9397-08002B2CF9AE}" pid="3" name="MSIP_Label_8d283cd4-40d8-4b4e-b666-5881e4d226e3_SetDate">
    <vt:lpwstr>2021-09-27T15:41:11Z</vt:lpwstr>
  </property>
  <property fmtid="{D5CDD505-2E9C-101B-9397-08002B2CF9AE}" pid="4" name="MSIP_Label_8d283cd4-40d8-4b4e-b666-5881e4d226e3_Method">
    <vt:lpwstr>Standard</vt:lpwstr>
  </property>
  <property fmtid="{D5CDD505-2E9C-101B-9397-08002B2CF9AE}" pid="5" name="MSIP_Label_8d283cd4-40d8-4b4e-b666-5881e4d226e3_Name">
    <vt:lpwstr>Public</vt:lpwstr>
  </property>
  <property fmtid="{D5CDD505-2E9C-101B-9397-08002B2CF9AE}" pid="6" name="MSIP_Label_8d283cd4-40d8-4b4e-b666-5881e4d226e3_SiteId">
    <vt:lpwstr>8b52ecaa-f734-4a0c-9b2d-ab31beeb4028</vt:lpwstr>
  </property>
  <property fmtid="{D5CDD505-2E9C-101B-9397-08002B2CF9AE}" pid="7" name="MSIP_Label_8d283cd4-40d8-4b4e-b666-5881e4d226e3_ActionId">
    <vt:lpwstr>0a5d2a0e-9289-4508-a97e-6ba462d0f5aa</vt:lpwstr>
  </property>
  <property fmtid="{D5CDD505-2E9C-101B-9397-08002B2CF9AE}" pid="8" name="MSIP_Label_8d283cd4-40d8-4b4e-b666-5881e4d226e3_ContentBits">
    <vt:lpwstr>0</vt:lpwstr>
  </property>
  <property fmtid="{D5CDD505-2E9C-101B-9397-08002B2CF9AE}" pid="9" name="ISR.DocumentVId">
    <vt:lpwstr>39d581753a1d4f03bb731e96b6b5f03b</vt:lpwstr>
  </property>
</Properties>
</file>